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EC" w:rsidRDefault="007C41E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41EC" w:rsidRDefault="007C41EC">
      <w:pPr>
        <w:pStyle w:val="ConsPlusNormal"/>
        <w:ind w:firstLine="540"/>
        <w:jc w:val="both"/>
        <w:outlineLvl w:val="0"/>
      </w:pPr>
    </w:p>
    <w:p w:rsidR="007C41EC" w:rsidRDefault="007C41EC">
      <w:pPr>
        <w:pStyle w:val="ConsPlusTitle"/>
        <w:jc w:val="center"/>
        <w:outlineLvl w:val="0"/>
      </w:pPr>
      <w:r>
        <w:t>СОВЕТ ЕВРАЗИЙСКОЙ ЭКОНОМИЧЕСКОЙ КОМИССИИ</w:t>
      </w:r>
    </w:p>
    <w:p w:rsidR="007C41EC" w:rsidRDefault="007C41EC">
      <w:pPr>
        <w:pStyle w:val="ConsPlusTitle"/>
        <w:jc w:val="center"/>
      </w:pPr>
    </w:p>
    <w:p w:rsidR="007C41EC" w:rsidRDefault="007C41EC">
      <w:pPr>
        <w:pStyle w:val="ConsPlusTitle"/>
        <w:jc w:val="center"/>
      </w:pPr>
      <w:r>
        <w:t>РЕШЕНИЕ</w:t>
      </w:r>
    </w:p>
    <w:p w:rsidR="007C41EC" w:rsidRDefault="007C41EC">
      <w:pPr>
        <w:pStyle w:val="ConsPlusTitle"/>
        <w:jc w:val="center"/>
      </w:pPr>
      <w:r>
        <w:t>от 17 мая 2017 г. N 21</w:t>
      </w:r>
    </w:p>
    <w:p w:rsidR="007C41EC" w:rsidRDefault="007C41EC">
      <w:pPr>
        <w:pStyle w:val="ConsPlusTitle"/>
        <w:jc w:val="center"/>
      </w:pPr>
    </w:p>
    <w:p w:rsidR="007C41EC" w:rsidRDefault="007C41EC">
      <w:pPr>
        <w:pStyle w:val="ConsPlusTitle"/>
        <w:jc w:val="center"/>
      </w:pPr>
      <w:r>
        <w:t>О ТЕХНИЧЕСКОМ РЕГЛАМЕНТЕ</w:t>
      </w:r>
    </w:p>
    <w:p w:rsidR="007C41EC" w:rsidRDefault="007C41EC">
      <w:pPr>
        <w:pStyle w:val="ConsPlusTitle"/>
        <w:jc w:val="center"/>
      </w:pPr>
      <w:r>
        <w:t>ЕВРАЗИЙСКОГО ЭКОНОМИЧЕСКОГО СОЮЗА "О БЕЗОПАСНОСТИ</w:t>
      </w:r>
    </w:p>
    <w:p w:rsidR="007C41EC" w:rsidRDefault="007C41EC">
      <w:pPr>
        <w:pStyle w:val="ConsPlusTitle"/>
        <w:jc w:val="center"/>
      </w:pPr>
      <w:r>
        <w:t>ОБОРУДОВАНИЯ ДЛЯ ДЕТСКИХ ИГРОВЫХ ПЛОЩАДОК"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52</w:t>
        </w:r>
      </w:hyperlink>
      <w:r>
        <w:t xml:space="preserve"> Договора о Евразийском экономическом союзе от 29 мая 2014 года и </w:t>
      </w:r>
      <w:hyperlink r:id="rId7">
        <w:r>
          <w:rPr>
            <w:color w:val="0000FF"/>
          </w:rPr>
          <w:t>пунктом 29</w:t>
        </w:r>
      </w:hyperlink>
      <w: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1. Принять прилагаемый технический </w:t>
      </w:r>
      <w:hyperlink w:anchor="P37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</w:t>
      </w:r>
      <w:proofErr w:type="gramStart"/>
      <w:r>
        <w:t>ТР</w:t>
      </w:r>
      <w:proofErr w:type="gramEnd"/>
      <w:r>
        <w:t xml:space="preserve"> ЕАЭС 042/2017).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2. Установить, что технический </w:t>
      </w:r>
      <w:hyperlink w:anchor="P37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</w:t>
      </w:r>
      <w:proofErr w:type="gramStart"/>
      <w:r>
        <w:t>ТР</w:t>
      </w:r>
      <w:proofErr w:type="gramEnd"/>
      <w:r>
        <w:t xml:space="preserve"> ЕАЭС 042/2017) вступает в силу по истечении 18 месяцев с даты его принятия.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3. Настоящее Решение вступает в силу по истечении 30 календарных дней с даты его официального опубликования.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</w:pPr>
      <w:r>
        <w:t>Члены Совета Евразийской экономической комиссии:</w:t>
      </w:r>
    </w:p>
    <w:p w:rsidR="007C41EC" w:rsidRDefault="007C41E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8"/>
        <w:gridCol w:w="1849"/>
      </w:tblGrid>
      <w:tr w:rsidR="007C41E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От Республики Армения</w:t>
            </w:r>
          </w:p>
          <w:p w:rsidR="007C41EC" w:rsidRDefault="007C41EC">
            <w:pPr>
              <w:pStyle w:val="ConsPlusNormal"/>
              <w:jc w:val="center"/>
            </w:pPr>
            <w:r>
              <w:t>В.ГАБРИЕЛЯН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От Республики Беларусь</w:t>
            </w:r>
          </w:p>
          <w:p w:rsidR="007C41EC" w:rsidRDefault="007C41EC">
            <w:pPr>
              <w:pStyle w:val="ConsPlusNormal"/>
              <w:jc w:val="center"/>
            </w:pPr>
            <w:r>
              <w:t>В.МАТЮШЕВСКИЙ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От Республики Казахстан</w:t>
            </w:r>
          </w:p>
          <w:p w:rsidR="007C41EC" w:rsidRDefault="007C41EC">
            <w:pPr>
              <w:pStyle w:val="ConsPlusNormal"/>
              <w:jc w:val="center"/>
            </w:pPr>
            <w:r>
              <w:t>А.МАМИН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От Кыргызской Республики</w:t>
            </w:r>
          </w:p>
          <w:p w:rsidR="007C41EC" w:rsidRDefault="007C41EC">
            <w:pPr>
              <w:pStyle w:val="ConsPlusNormal"/>
              <w:jc w:val="center"/>
            </w:pPr>
            <w:r>
              <w:t>О.ПАНКРАТОВ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От Российской Федерации</w:t>
            </w:r>
          </w:p>
          <w:p w:rsidR="007C41EC" w:rsidRDefault="007C41EC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right"/>
        <w:outlineLvl w:val="0"/>
      </w:pPr>
      <w:proofErr w:type="gramStart"/>
      <w:r>
        <w:t>Принят</w:t>
      </w:r>
      <w:proofErr w:type="gramEnd"/>
    </w:p>
    <w:p w:rsidR="007C41EC" w:rsidRDefault="007C41EC">
      <w:pPr>
        <w:pStyle w:val="ConsPlusNormal"/>
        <w:jc w:val="right"/>
      </w:pPr>
      <w:r>
        <w:t xml:space="preserve">Решением Совета </w:t>
      </w:r>
      <w:proofErr w:type="gramStart"/>
      <w:r>
        <w:t>Евразийской</w:t>
      </w:r>
      <w:proofErr w:type="gramEnd"/>
    </w:p>
    <w:p w:rsidR="007C41EC" w:rsidRDefault="007C41EC">
      <w:pPr>
        <w:pStyle w:val="ConsPlusNormal"/>
        <w:jc w:val="right"/>
      </w:pPr>
      <w:r>
        <w:t>экономической комиссии</w:t>
      </w:r>
    </w:p>
    <w:p w:rsidR="007C41EC" w:rsidRDefault="007C41EC">
      <w:pPr>
        <w:pStyle w:val="ConsPlusNormal"/>
        <w:jc w:val="right"/>
      </w:pPr>
      <w:r>
        <w:t>от 17 мая 2017 г. N 21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</w:pPr>
      <w:bookmarkStart w:id="0" w:name="P37"/>
      <w:bookmarkEnd w:id="0"/>
      <w:r>
        <w:t>ТЕХНИЧЕСКИЙ РЕГЛАМЕНТ</w:t>
      </w:r>
    </w:p>
    <w:p w:rsidR="007C41EC" w:rsidRDefault="007C41EC">
      <w:pPr>
        <w:pStyle w:val="ConsPlusNormal"/>
        <w:jc w:val="center"/>
      </w:pPr>
      <w:r>
        <w:t>ЕВРАЗИЙСКОГО ЭКОНОМИЧЕСКОГО СОЮЗА "О БЕЗОПАСНОСТИ</w:t>
      </w:r>
    </w:p>
    <w:p w:rsidR="007C41EC" w:rsidRDefault="007C41EC">
      <w:pPr>
        <w:pStyle w:val="ConsPlusNormal"/>
        <w:jc w:val="center"/>
      </w:pPr>
      <w:r>
        <w:t>ОБОРУДОВАНИЯ ДЛЯ ДЕТСКИХ ИГРОВЫХ ПЛОЩАДОК"</w:t>
      </w:r>
    </w:p>
    <w:p w:rsidR="007C41EC" w:rsidRDefault="007C41EC">
      <w:pPr>
        <w:pStyle w:val="ConsPlusNormal"/>
        <w:jc w:val="center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r>
        <w:t>I. Область применения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1. 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территориях или в закрытых помещениях, по перечню согласно </w:t>
      </w:r>
      <w:hyperlink w:anchor="P344">
        <w:r>
          <w:rPr>
            <w:color w:val="0000FF"/>
          </w:rPr>
          <w:t>приложению N 1</w:t>
        </w:r>
      </w:hyperlink>
      <w:r>
        <w:t>.</w:t>
      </w:r>
      <w:proofErr w:type="gramEnd"/>
    </w:p>
    <w:p w:rsidR="007C41EC" w:rsidRDefault="007C41EC">
      <w:pPr>
        <w:pStyle w:val="ConsPlusNormal"/>
        <w:spacing w:before="200"/>
        <w:ind w:firstLine="540"/>
        <w:jc w:val="both"/>
      </w:pPr>
      <w:r>
        <w:t>3. 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4. Настоящий технический регламент не распространяется </w:t>
      </w:r>
      <w:proofErr w:type="gramStart"/>
      <w:r>
        <w:t>на</w:t>
      </w:r>
      <w:proofErr w:type="gramEnd"/>
      <w:r>
        <w:t>:</w:t>
      </w:r>
    </w:p>
    <w:p w:rsidR="007C41EC" w:rsidRDefault="007C41EC">
      <w:pPr>
        <w:pStyle w:val="ConsPlusNormal"/>
        <w:spacing w:before="200"/>
        <w:ind w:firstLine="540"/>
        <w:jc w:val="both"/>
      </w:pPr>
      <w:proofErr w:type="gramStart"/>
      <w:r>
        <w:t>а) 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  <w:proofErr w:type="gramEnd"/>
    </w:p>
    <w:p w:rsidR="007C41EC" w:rsidRDefault="007C41EC">
      <w:pPr>
        <w:pStyle w:val="ConsPlusNormal"/>
        <w:spacing w:before="200"/>
        <w:ind w:firstLine="540"/>
        <w:jc w:val="both"/>
      </w:pPr>
      <w:r>
        <w:t>б) спортивное оборудование и изделия, предназначенные для тренировок и занятий физической культурой, спортом и туризмом;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в) аттракционы, на которые распространяется действие технического </w:t>
      </w:r>
      <w:hyperlink r:id="rId8">
        <w:r>
          <w:rPr>
            <w:color w:val="0000FF"/>
          </w:rPr>
          <w:t>регламента</w:t>
        </w:r>
      </w:hyperlink>
      <w:r>
        <w:t xml:space="preserve"> Евразийского экономического союза "О безопасности аттракционов" (</w:t>
      </w:r>
      <w:proofErr w:type="gramStart"/>
      <w:r>
        <w:t>ТР</w:t>
      </w:r>
      <w:proofErr w:type="gramEnd"/>
      <w:r>
        <w:t xml:space="preserve"> ЕАЭС 038/2016), принятого Решением Совета Евразийской экономической комиссии от 18 октября 2016 г. N 114;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г) игрушки.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5. 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ним, то такие оборудование и (или) 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r>
        <w:t>II. Основные понятия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 xml:space="preserve">6. Для целей применения настоящего технического регламента используются понятия, предусмотренные </w:t>
      </w:r>
      <w:hyperlink r:id="rId9">
        <w:r>
          <w:rPr>
            <w:color w:val="0000FF"/>
          </w:rPr>
          <w:t>Протоколом</w:t>
        </w:r>
      </w:hyperlink>
      <w:r>
        <w:t xml:space="preserve"> о техническом регулировании в рамках Евразийского экономического союза (приложение N 9 к Договору о Евразийском экономическом союзе от 29 мая 2014 года), а также понятия, которые означают следующее:</w:t>
      </w:r>
    </w:p>
    <w:p w:rsidR="007C41EC" w:rsidRDefault="007C41EC">
      <w:pPr>
        <w:pStyle w:val="ConsPlusNormal"/>
        <w:spacing w:before="200"/>
        <w:ind w:firstLine="540"/>
        <w:jc w:val="both"/>
      </w:pPr>
      <w:proofErr w:type="gramStart"/>
      <w:r>
        <w:t>"возрастная группа" - группа детей определенного возраста, имеющих схожие рост, вес, физическую силу и уровень интеллектуального развития;</w:t>
      </w:r>
      <w:proofErr w:type="gramEnd"/>
    </w:p>
    <w:p w:rsidR="007C41EC" w:rsidRDefault="007C41EC">
      <w:pPr>
        <w:pStyle w:val="ConsPlusNormal"/>
        <w:spacing w:before="200"/>
        <w:ind w:firstLine="540"/>
        <w:jc w:val="both"/>
      </w:pPr>
      <w:proofErr w:type="gramStart"/>
      <w:r>
        <w:t>"детская игровая площадка" - специально оборудованная территория, предназначенная для игры детей, включающая в себя соответствующие оборудование и покрытие;</w:t>
      </w:r>
      <w:proofErr w:type="gramEnd"/>
    </w:p>
    <w:p w:rsidR="007C41EC" w:rsidRDefault="007C41EC">
      <w:pPr>
        <w:pStyle w:val="ConsPlusNormal"/>
        <w:spacing w:before="200"/>
        <w:ind w:firstLine="540"/>
        <w:jc w:val="both"/>
      </w:pPr>
      <w:r>
        <w:t>"детский городок (игровой комплекс)" - многофункциональное оборудование для детской игровой площадки, состоящее из нескольких конструкций;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"жизненный цикл оборудования и (или) покрытия" - временной период от начала проектирования до завершения эксплуатации оборудования и (или) покрытия, включающий в </w:t>
      </w:r>
      <w:proofErr w:type="gramStart"/>
      <w:r>
        <w:t>себя</w:t>
      </w:r>
      <w:proofErr w:type="gramEnd"/>
      <w:r>
        <w:t xml:space="preserve"> в том числе производство, хранение, перевозку, монтаж, модернизацию, ремонт, техническое обслуживание и утилизацию;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"зона падения" - поверхность, на которую может попасть пользователь после падения с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"зона приземления" - зона детской игровой площадки, в которой осуществляются торможение и остановка ребенка;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"критическая высота падения" - максимальная высота падения с оборудования, при которой покрытие обеспечивает необходимый уровень демпфирования удара;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"назначенный срок службы" -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"оборудование" -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"паспорт" - эксплуатационный документ, определяющий правила эксплуатации оборудования и 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"покрытие" - участок поверхности детской игровой площадки размером не менее зоны приземления, используемый совместно с оборудованием;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"пользователь" - ребенок, использующий по назначению оборудование и (или) покрытие, и лицо, осуществляющее присмотр за ним;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"продавец" - являющиеся резидентами государства - члена Союза юридическое лицо или физическое лицо, зарегистрированное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"ребенок" - пользователь детской игровой площадкой в возрасте до 14 лет;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"ремонт" - комплекс операций по восстановлению оборудования и (или) покрытия в целях обеспечения их исправности или работоспособности;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"тип оборудования и (или) покрытия" -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"ударопоглощающее покрытие" - покрытие, обладающее амортизационными свойствами;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"эксплуатант"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 соответствие требованиям настоящего технического регламента с момента ввода в эксплуатацию детской игровой площадки;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"эксплуатация оборудования и (или) покрытия" - стадия жизненного цикла с момента ввода в эксплуатацию оборудования и (или) покрытия до их утилизации.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bookmarkStart w:id="1" w:name="P77"/>
      <w:bookmarkEnd w:id="1"/>
      <w:r>
        <w:t>III. Правила идентификации оборудования и (или) покрытия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7. 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оборудования и (или) покрытия.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8. Идентификация оборудования и (или) покрытия осуществляется по их наименованию и (или) документации визуальным методом.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9. Для идентификации оборудования и (или) покрытия в целях применения настоящего технического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В качестве товаросопроводительной документации могут быть использованы договоры поставки, и (или) спецификации, и (или) этикетки, и (или) аннотации, а также другие документы, характеризующие оборудование и (или) покрытие.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r>
        <w:t>IV. Правила обращения оборудования и (или) покрытия</w:t>
      </w:r>
    </w:p>
    <w:p w:rsidR="007C41EC" w:rsidRDefault="007C41EC">
      <w:pPr>
        <w:pStyle w:val="ConsPlusNormal"/>
        <w:jc w:val="center"/>
      </w:pPr>
      <w:r>
        <w:t>на рынке Союза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Союза 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</w:t>
      </w:r>
      <w:hyperlink w:anchor="P225">
        <w:r>
          <w:rPr>
            <w:color w:val="0000FF"/>
          </w:rPr>
          <w:t>разделу IX</w:t>
        </w:r>
      </w:hyperlink>
      <w:r>
        <w:t xml:space="preserve"> настоящего технического регламента и другим техническим регламентам Союза (Таможенного союза), действие которых</w:t>
      </w:r>
      <w:proofErr w:type="gramEnd"/>
      <w:r>
        <w:t xml:space="preserve"> на них распространяется.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11. Оборудование и (или) покрытие, соответствие </w:t>
      </w:r>
      <w:proofErr w:type="gramStart"/>
      <w:r>
        <w:t>которых</w:t>
      </w:r>
      <w:proofErr w:type="gramEnd"/>
      <w:r>
        <w:t xml:space="preserve"> требованиям настоящего технического регламента не подтверждено, не маркируются единым знаком обращения продукции на рынке Союза и не допускаются к выпуску в обращение на рынке Союза.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r>
        <w:t>V. Требования безопасности к оборудованию и (или) покрытию</w:t>
      </w:r>
    </w:p>
    <w:p w:rsidR="007C41EC" w:rsidRDefault="007C41EC">
      <w:pPr>
        <w:pStyle w:val="ConsPlusNormal"/>
        <w:jc w:val="center"/>
      </w:pPr>
      <w:r>
        <w:t>при проектировании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bookmarkStart w:id="2" w:name="P92"/>
      <w:bookmarkEnd w:id="2"/>
      <w:r>
        <w:t>12. При проектировании оборудования и (или) покрытия необходимо обеспечить: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проведение комплекса необходимых расчетов и испытаний, основанных на аттестованных в установленном порядке методиках;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г) установление критериев предельных состояний;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д) установление назначенных сроков службы, сроков технического обслуживания и ремонта;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е) выявление всех опасностей, связанных с возможной предсказуемой неправильной эксплуатацией оборудования и (или) покрытия;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ж) установление ограничений по эксплуатации оборудования и (или) покрытия.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13. Риск при эксплуатации оборудования и (или) покрытия необходимо рассчитывать с учетом целевой возрастной группы.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14. Разработка паспорта является неотъемлемой частью проектирования оборудования.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r>
        <w:t>VI. Требования безопасности к оборудованию и (или) покрытию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15. 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16. 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17. Паспорт оборудования после ввода его в эксплуатацию хранится у эксплуатанта.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18. Материалы, применяемые при производстве оборудования и (или) покрытия, не должны: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оказывать вредное воздействие на здоровье людей и окружающую среду в процессе эксплуатации;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относиться к легковоспламеняющимся материалам;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г) относиться к чрезвычайно опасным по токсичности продуктам горения;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д) относиться к материалам, свойства которых недостаточно изучены.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19. 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 </w:t>
      </w:r>
      <w:hyperlink w:anchor="P429">
        <w:r>
          <w:rPr>
            <w:color w:val="0000FF"/>
          </w:rPr>
          <w:t>приложении N 2</w:t>
        </w:r>
      </w:hyperlink>
      <w:r>
        <w:t xml:space="preserve"> к настоящему техническому регламенту.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20. 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21. Оборудование и его элементы должны быть сконструированы таким образом, чтобы: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соответствовать возрастной группе детей, для которых они предназначены;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б) был </w:t>
      </w:r>
      <w:proofErr w:type="gramStart"/>
      <w:r>
        <w:t>очевиден и легко распознаваем</w:t>
      </w:r>
      <w:proofErr w:type="gramEnd"/>
      <w:r>
        <w:t xml:space="preserve"> ребенком возможный риск при игре;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лица, присматривающие за детьми, имели возможность доступа внутрь оборудования для оказания помощи детям;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г) не </w:t>
      </w:r>
      <w:proofErr w:type="gramStart"/>
      <w:r>
        <w:t>допускалось скопление воды на поверхности оборудования и обеспечивались</w:t>
      </w:r>
      <w:proofErr w:type="gramEnd"/>
      <w:r>
        <w:t xml:space="preserve"> свободный сток и просыхание;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д) </w:t>
      </w:r>
      <w:proofErr w:type="gramStart"/>
      <w:r>
        <w:t>обеспечивались</w:t>
      </w:r>
      <w:proofErr w:type="gramEnd"/>
      <w:r>
        <w:t xml:space="preserve"> доступность и удобство очистки от пыли, грязи и мусора.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22. 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23. Конструкция оборудования: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должна обеспечивать прочность, устойчивость, жесткость и неизменяемость;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должна иметь защиту от коррозии и старения с учетом степени агрессивности среды и стойкости используемых материалов;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не должна иметь выступающих элементов с острыми концами или кромками;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г) не должна иметь шероховатых поверхностей, способных нанести травму пользователю;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д) должна иметь защиту выступающих концов болтовых соединений;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е) должна иметь гладкие сварные швы;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ж) должна иметь закругленные углы и края любой доступной для пользователей части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з) должна исключать возможность демонтажа без применения специализированных инструментов;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м) должна обеспечивать безопасные расстояния между подвижными элементами оборудования и поверхностью игровой площадки;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н) должна иметь оснащение перилами и ограждениями;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о) не должна допускать застревание тела, частей тела или одежды ребенка;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п) должна обладать необходимой несущей способностью к возникающим нагрузкам.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24. Закрытое оборудование (тоннели, игровые домики и т.п.)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25. По всей зоне приземления с оборудования должны быть установлены ударопоглощающие покрытия.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26. Высота свободного падения с оборудования должна учитывать тип ударопоглощающего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Границы зоны приземления должны учитывать возможные перемещения ребенка и элементов конструкции.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27. Поверхности платформ, проходов, трапов и лестниц должны исключать скольжение при любых погодных условиях.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28. Ударопоглощающее покрытие не должно иметь опасных выступов.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29. При применении в качестве ударопоглощающего покрытия несыпучих материалов оно не должно иметь участков, на которых возможно застревание частей тела или одежды ребенка.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30. Ударопоглощающее покрытие должно сохранять свои свойства вне зависимости от климатических условий.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31. Под оборудованием с высотой свободного падения более 60 см ударопоглощающее покрытие оборудуется по всей зоне приземления.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32. Критическая высота падения должна быть равной высоте свободного падения с оборудования или превышать такую высоту.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33. Оборудование и (или) покрытие должны иметь назначенный срок службы, который устанавливается согласно </w:t>
      </w:r>
      <w:hyperlink w:anchor="P92">
        <w:r>
          <w:rPr>
            <w:color w:val="0000FF"/>
          </w:rPr>
          <w:t>пункту 12</w:t>
        </w:r>
      </w:hyperlink>
      <w:r>
        <w:t xml:space="preserve"> настоящего технического регламента.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34. 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</w:p>
    <w:p w:rsidR="007C41EC" w:rsidRDefault="007C41EC">
      <w:pPr>
        <w:pStyle w:val="ConsPlusNormal"/>
        <w:spacing w:before="200"/>
        <w:ind w:firstLine="540"/>
        <w:jc w:val="both"/>
      </w:pPr>
      <w:proofErr w:type="gramStart"/>
      <w: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  <w:proofErr w:type="gramEnd"/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r>
        <w:t>VII. Обеспечение безопасности оборудования</w:t>
      </w:r>
    </w:p>
    <w:p w:rsidR="007C41EC" w:rsidRDefault="007C41EC">
      <w:pPr>
        <w:pStyle w:val="ConsPlusNormal"/>
        <w:jc w:val="center"/>
      </w:pPr>
      <w:r>
        <w:t>и (или) покрытия при их монтаже, эксплуатации, перевозке,</w:t>
      </w:r>
    </w:p>
    <w:p w:rsidR="007C41EC" w:rsidRDefault="007C41EC">
      <w:pPr>
        <w:pStyle w:val="ConsPlusNormal"/>
        <w:jc w:val="center"/>
      </w:pPr>
      <w:proofErr w:type="gramStart"/>
      <w:r>
        <w:t>хранении</w:t>
      </w:r>
      <w:proofErr w:type="gramEnd"/>
      <w:r>
        <w:t xml:space="preserve"> и (или) утилизации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35. Информация о характеристиках и безопасной эксплуатации оборудования должна быть указана в паспорте.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36. Паспорт должен содержать следующую информацию: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основные технические данные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комплектность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 приемке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об упаковке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гарантийные обязательства изготовителя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 хранении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 перевозке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 консервации и расконсервации оборудования при эксплуатации;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рекомендуемый тип покрытия;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об учете неисправностей оборудования при эксплуатации;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об учете технического обслуживания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инструкция по монтажу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правила безопасной эксплуатации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инструкция по осмотру и проверке оборудования перед началом эксплуатации;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инструкция по осмотру, обслуживанию и ремонту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об утилизации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месяц и год производства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сведения о возрастных группах (включая ограничения по весу и росту);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назначенный срок службы;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особые отметки (при необходимости);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фото или графический рисунок (при необходимости цветные)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чертеж общего вида оборудования с указанием основных размеров;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схема сборки оборудования;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схема (план) зоны падения.</w:t>
      </w:r>
    </w:p>
    <w:p w:rsidR="007C41EC" w:rsidRDefault="007C41EC">
      <w:pPr>
        <w:pStyle w:val="ConsPlusNormal"/>
        <w:spacing w:before="200"/>
        <w:ind w:firstLine="540"/>
        <w:jc w:val="both"/>
      </w:pPr>
      <w:proofErr w:type="gramStart"/>
      <w:r>
        <w:t>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государства-члена, на территории которого реализуется оборудование.</w:t>
      </w:r>
      <w:proofErr w:type="gramEnd"/>
    </w:p>
    <w:p w:rsidR="007C41EC" w:rsidRDefault="007C41EC">
      <w:pPr>
        <w:pStyle w:val="ConsPlusNormal"/>
        <w:spacing w:before="200"/>
        <w:ind w:firstLine="540"/>
        <w:jc w:val="both"/>
      </w:pPr>
      <w:r>
        <w:t>37. 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порядок монтажа оборудования и (или) покрытия;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необходимые обозначения, облегчающие сборку (например, метки на сборочных частях оборудования и подробные инструкции);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г) 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т.п.), а также мер предосторожности при монтаже оборудования и (или) покрытия;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д) значения момента затяжки резьбовых соединений (при необходимости);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е) размеры участка для установки оборудования конкретного вида;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ж) ориентация оборудования и его элементов в целях защиты от воздействия климатических условий (солнца, ветра (при необходимости));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з) требования к фундаменту, описание конструкции и схема размещения фундамента, требования к анкерному креплению;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и) описание особенностей ландшафта для обеспечения безопасной эксплуатации оборудования и (или) покрытия;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к) высота свободного падения (при выборе ударопоглощающего покрытия);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л) требование к окраске или специальной пропитке оборудования или его элементов (при необходимости);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м) требование к удалению элементов упаковки перед вводом оборудования в эксплуатацию.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38. Оборудование должно быть установлено таким образом, чтобы обеспечить безопасность пользователей.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39.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40. При применении в качестве ударопоглощающего покрытия на детской игровой площадке сыпучих материалов толщину такого покрытия увеличивают (по сравнению с необходимой толщиной) на величину, достаточную для компенсации вытеснения данного материала.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41. Ввод в эксплуатацию оборудования и (или) покрытия осуществляется в порядке, установленном законодательством государств-членов.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42. Эксплуатация оборудования и (или) покрытия осуществляется эксплуатантом в соответствии с требованиями настоящего технического регламента и правилами безопасной эксплуатации, установленными паспортом.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43. Техническое обслуживание и ремонт оборудования осуществляются в соответствии с паспортом.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44. 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45. Для обеспечения безопасности оборудования внесение эксплуатантом в конструкцию оборудования изменений, влияющих на безопасность его конструкции или элементов, не допускается.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46. На детской игровой площадке должна быть размещена информация в виде таблички (пиктограммы), содержащая: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правила пользования оборудованием и сведения о возрастных группах (включая ограничения по росту и весу);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номера телефонов службы спасения, скорой помощи;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номера телефонов эксплуатанта, по которым следует обращаться в случае неисправности или поломки оборудования.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 процессе эксплуатации оборудования должны соблюдаться ограничения по росту и весу, указанные в паспорте.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47. 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48. Утилизация оборудования осуществляется в соответствии с паспортом.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Особенности утилизации оборудования могут устанавливаться законодательством государств-членов в области охраны окружающей среды.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bookmarkStart w:id="3" w:name="P217"/>
      <w:bookmarkEnd w:id="3"/>
      <w:r>
        <w:t>VIII. Обеспечение соответствия оборудования</w:t>
      </w:r>
    </w:p>
    <w:p w:rsidR="007C41EC" w:rsidRDefault="007C41EC">
      <w:pPr>
        <w:pStyle w:val="ConsPlusNormal"/>
        <w:jc w:val="center"/>
      </w:pPr>
      <w:r>
        <w:t>и (или) покрытия требованиям безопасности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49. Соответствие оборудования и (или) покрытия настоящему техническому регламенту обеспечивается выполнением следующих требований:</w:t>
      </w:r>
    </w:p>
    <w:p w:rsidR="007C41EC" w:rsidRDefault="007C41EC">
      <w:pPr>
        <w:pStyle w:val="ConsPlusNormal"/>
        <w:spacing w:before="200"/>
        <w:ind w:firstLine="540"/>
        <w:jc w:val="both"/>
      </w:pPr>
      <w:bookmarkStart w:id="4" w:name="P221"/>
      <w:bookmarkEnd w:id="4"/>
      <w:r>
        <w:t xml:space="preserve">а) требования гигиенической безопасности, установленные </w:t>
      </w:r>
      <w:hyperlink w:anchor="P429">
        <w:r>
          <w:rPr>
            <w:color w:val="0000FF"/>
          </w:rPr>
          <w:t>приложением N 2</w:t>
        </w:r>
      </w:hyperlink>
      <w:r>
        <w:t xml:space="preserve"> к настоящему техническому регламенту;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б) требования безопасности, установленные настоящим техническим регламентом (за исключением требований, указанных в </w:t>
      </w:r>
      <w:hyperlink w:anchor="P221">
        <w:r>
          <w:rPr>
            <w:color w:val="0000FF"/>
          </w:rPr>
          <w:t>подпункте "а"</w:t>
        </w:r>
      </w:hyperlink>
      <w:r>
        <w:t xml:space="preserve"> настоящего пункта), либо требования стандартов, включенных в </w:t>
      </w:r>
      <w:hyperlink r:id="rId10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50. Методы исследований (испытаний) и измерений оборудования и (или) покрытия устанавливаются в стандартах, включенных в </w:t>
      </w:r>
      <w:hyperlink r:id="rId1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bookmarkStart w:id="5" w:name="P225"/>
      <w:bookmarkEnd w:id="5"/>
      <w:r>
        <w:t>IX. Оценка соответствия оборудования и (или) покрытия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51. Оборудование и (или) покрытие, выпускаемые в обращение на рынке Союза, подлежат оценке соответствия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52. Оценка соответствия оборудования и (или) покрытия требованиям настоящего технического регламента проводится в формах подтверждения соответствия и оценки технического состояния (технического освидетельствования).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53. Подтверждение соответствия оборудования и (или) покрытия требованиям настоящего технического регламента (далее - подтверждение соответствия) осуществляется в форме сертификации или декларирования соответствия.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54. 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55. Оборудование и (или) покрытие по перечню согласно </w:t>
      </w:r>
      <w:hyperlink w:anchor="P854">
        <w:r>
          <w:rPr>
            <w:color w:val="0000FF"/>
          </w:rPr>
          <w:t>приложению N 3</w:t>
        </w:r>
      </w:hyperlink>
      <w:r>
        <w:t xml:space="preserve"> подлежат подтверждению соответствия в форме сертификации по следующим схемам: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а) для оборудования и (или) покрытия, </w:t>
      </w:r>
      <w:proofErr w:type="gramStart"/>
      <w:r>
        <w:t>выпускаемых</w:t>
      </w:r>
      <w:proofErr w:type="gramEnd"/>
      <w:r>
        <w:t xml:space="preserve"> серийно, - </w:t>
      </w:r>
      <w:hyperlink r:id="rId12">
        <w:r>
          <w:rPr>
            <w:color w:val="0000FF"/>
          </w:rPr>
          <w:t>схемы 1с</w:t>
        </w:r>
      </w:hyperlink>
      <w:r>
        <w:t xml:space="preserve"> и </w:t>
      </w:r>
      <w:hyperlink r:id="rId13">
        <w:r>
          <w:rPr>
            <w:color w:val="0000FF"/>
          </w:rPr>
          <w:t>2с</w:t>
        </w:r>
      </w:hyperlink>
      <w:r>
        <w:t>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б) для партии оборудования и (или) покрытия - </w:t>
      </w:r>
      <w:hyperlink r:id="rId14">
        <w:r>
          <w:rPr>
            <w:color w:val="0000FF"/>
          </w:rPr>
          <w:t>схема 3с</w:t>
        </w:r>
      </w:hyperlink>
      <w:r>
        <w:t>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в) для единичного изделия - </w:t>
      </w:r>
      <w:hyperlink r:id="rId15">
        <w:r>
          <w:rPr>
            <w:color w:val="0000FF"/>
          </w:rPr>
          <w:t>схема 4с</w:t>
        </w:r>
      </w:hyperlink>
      <w:r>
        <w:t>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56. Оборудование и (или) покрытие по перечню согласно </w:t>
      </w:r>
      <w:hyperlink w:anchor="P883">
        <w:r>
          <w:rPr>
            <w:color w:val="0000FF"/>
          </w:rPr>
          <w:t>приложению N 4</w:t>
        </w:r>
      </w:hyperlink>
      <w:r>
        <w:t xml:space="preserve"> подлежат подтверждению соответствия в форме декларирования соответствия по следующим схемам: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а) для оборудования и (или) покрытия, </w:t>
      </w:r>
      <w:proofErr w:type="gramStart"/>
      <w:r>
        <w:t>выпускаемых</w:t>
      </w:r>
      <w:proofErr w:type="gramEnd"/>
      <w:r>
        <w:t xml:space="preserve"> серийно, - </w:t>
      </w:r>
      <w:hyperlink r:id="rId16">
        <w:r>
          <w:rPr>
            <w:color w:val="0000FF"/>
          </w:rPr>
          <w:t>схемы 1д</w:t>
        </w:r>
      </w:hyperlink>
      <w:r>
        <w:t xml:space="preserve"> и </w:t>
      </w:r>
      <w:hyperlink r:id="rId17">
        <w:r>
          <w:rPr>
            <w:color w:val="0000FF"/>
          </w:rPr>
          <w:t>3д</w:t>
        </w:r>
      </w:hyperlink>
      <w:r>
        <w:t>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б) для партии (единичного изделия) оборудования и (или) покрытия - </w:t>
      </w:r>
      <w:hyperlink r:id="rId18">
        <w:r>
          <w:rPr>
            <w:color w:val="0000FF"/>
          </w:rPr>
          <w:t>схемы 2д</w:t>
        </w:r>
      </w:hyperlink>
      <w:r>
        <w:t xml:space="preserve"> и </w:t>
      </w:r>
      <w:hyperlink r:id="rId19">
        <w:r>
          <w:rPr>
            <w:color w:val="0000FF"/>
          </w:rPr>
          <w:t>4д</w:t>
        </w:r>
      </w:hyperlink>
      <w:r>
        <w:t>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57. При сертификации оборудования и (или) покрытия заявителем может быть: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а) для </w:t>
      </w:r>
      <w:hyperlink r:id="rId20">
        <w:r>
          <w:rPr>
            <w:color w:val="0000FF"/>
          </w:rPr>
          <w:t>схем 1с</w:t>
        </w:r>
      </w:hyperlink>
      <w:r>
        <w:t xml:space="preserve"> и </w:t>
      </w:r>
      <w:hyperlink r:id="rId21">
        <w:r>
          <w:rPr>
            <w:color w:val="0000FF"/>
          </w:rPr>
          <w:t>2с</w:t>
        </w:r>
      </w:hyperlink>
      <w:r>
        <w:t xml:space="preserve"> - изготовитель (уполномоченное изготовителем лицо);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б) для </w:t>
      </w:r>
      <w:hyperlink r:id="rId22">
        <w:r>
          <w:rPr>
            <w:color w:val="0000FF"/>
          </w:rPr>
          <w:t>схем 3с</w:t>
        </w:r>
      </w:hyperlink>
      <w:r>
        <w:t xml:space="preserve"> и </w:t>
      </w:r>
      <w:hyperlink r:id="rId23">
        <w:r>
          <w:rPr>
            <w:color w:val="0000FF"/>
          </w:rPr>
          <w:t>4с</w:t>
        </w:r>
      </w:hyperlink>
      <w:r>
        <w:t xml:space="preserve"> - изготовитель (уполномоченное изготовителем лицо) или продавец.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58. Выбор схемы сертификации оборудования и (или) покрытия осуществляется заявителем.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59. При сертификации оборудования и (или) покрытия заявитель: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а) предпринимает все необходимые меры, чтобы процесс производства был стабильным и обеспечивал соответствие </w:t>
      </w:r>
      <w:proofErr w:type="gramStart"/>
      <w:r>
        <w:t>производимых</w:t>
      </w:r>
      <w:proofErr w:type="gramEnd"/>
      <w:r>
        <w:t xml:space="preserve"> оборудования и (или) покрытия требованиям настоящего технического регламента (</w:t>
      </w:r>
      <w:hyperlink r:id="rId24">
        <w:r>
          <w:rPr>
            <w:color w:val="0000FF"/>
          </w:rPr>
          <w:t>схемы 1с</w:t>
        </w:r>
      </w:hyperlink>
      <w:r>
        <w:t xml:space="preserve"> и </w:t>
      </w:r>
      <w:hyperlink r:id="rId25">
        <w:r>
          <w:rPr>
            <w:color w:val="0000FF"/>
          </w:rPr>
          <w:t>2с</w:t>
        </w:r>
      </w:hyperlink>
      <w:r>
        <w:t>);</w:t>
      </w:r>
    </w:p>
    <w:p w:rsidR="007C41EC" w:rsidRDefault="007C41EC">
      <w:pPr>
        <w:pStyle w:val="ConsPlusNormal"/>
        <w:spacing w:before="200"/>
        <w:ind w:firstLine="540"/>
        <w:jc w:val="both"/>
      </w:pPr>
      <w:bookmarkStart w:id="6" w:name="P244"/>
      <w:bookmarkEnd w:id="6"/>
      <w:r>
        <w:t>б) формирует техническую документацию, в том числе: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паспорт (для оборудования);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конструкторскую документацию (</w:t>
      </w:r>
      <w:hyperlink r:id="rId26">
        <w:r>
          <w:rPr>
            <w:color w:val="0000FF"/>
          </w:rPr>
          <w:t>схемы 1с</w:t>
        </w:r>
      </w:hyperlink>
      <w:r>
        <w:t xml:space="preserve"> и </w:t>
      </w:r>
      <w:hyperlink r:id="rId27">
        <w:r>
          <w:rPr>
            <w:color w:val="0000FF"/>
          </w:rPr>
          <w:t>2с</w:t>
        </w:r>
      </w:hyperlink>
      <w:r>
        <w:t>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документ, по которому изготовлено оборудование и (или) покрытие (</w:t>
      </w:r>
      <w:hyperlink r:id="rId28">
        <w:r>
          <w:rPr>
            <w:color w:val="0000FF"/>
          </w:rPr>
          <w:t>схемы 1с</w:t>
        </w:r>
      </w:hyperlink>
      <w:r>
        <w:t xml:space="preserve"> и </w:t>
      </w:r>
      <w:hyperlink r:id="rId29">
        <w:r>
          <w:rPr>
            <w:color w:val="0000FF"/>
          </w:rPr>
          <w:t>2с</w:t>
        </w:r>
      </w:hyperlink>
      <w:r>
        <w:t>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результаты прочностных расчетов оборудования и (или) покрытия;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документ о подтверждении характеристик материалов и комплектующих изделий (при наличии);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перечень стандартов, указанных в </w:t>
      </w:r>
      <w:hyperlink w:anchor="P217">
        <w:r>
          <w:rPr>
            <w:color w:val="0000FF"/>
          </w:rPr>
          <w:t>разделе VIII</w:t>
        </w:r>
      </w:hyperlink>
      <w: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сертификат на систему менеджмента (копию сертификата) </w:t>
      </w:r>
      <w:hyperlink r:id="rId30">
        <w:r>
          <w:rPr>
            <w:color w:val="0000FF"/>
          </w:rPr>
          <w:t>(схема 2с)</w:t>
        </w:r>
      </w:hyperlink>
      <w:r>
        <w:t>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контракт (договор на поставку) и товаросопроводительную документацию для партии и единичного изделия оборудования и (или) покрытия (</w:t>
      </w:r>
      <w:hyperlink r:id="rId31">
        <w:r>
          <w:rPr>
            <w:color w:val="0000FF"/>
          </w:rPr>
          <w:t>схемы 3с</w:t>
        </w:r>
      </w:hyperlink>
      <w:r>
        <w:t xml:space="preserve"> и </w:t>
      </w:r>
      <w:hyperlink r:id="rId32">
        <w:r>
          <w:rPr>
            <w:color w:val="0000FF"/>
          </w:rPr>
          <w:t>4с</w:t>
        </w:r>
      </w:hyperlink>
      <w:r>
        <w:t>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в) подает заявку на сертификацию оборудования и (или) покрытия с приложением технической документации, предусмотренной </w:t>
      </w:r>
      <w:hyperlink w:anchor="P244">
        <w:r>
          <w:rPr>
            <w:color w:val="0000FF"/>
          </w:rPr>
          <w:t>подпунктом "б"</w:t>
        </w:r>
      </w:hyperlink>
      <w:r>
        <w:t xml:space="preserve"> настоящего пункта, в аккредитованный орган по сертификации, включенный в Единый реестр органов по оценке соответствия Евразийского экономического союза (далее - орган по сертификации).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В заявке указывается документ, на соответствие которому сертифицирована система менеджмента </w:t>
      </w:r>
      <w:hyperlink r:id="rId33">
        <w:r>
          <w:rPr>
            <w:color w:val="0000FF"/>
          </w:rPr>
          <w:t>(схема 2с)</w:t>
        </w:r>
      </w:hyperlink>
      <w:r>
        <w:t>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тип, вид и др. (при наличии)) (</w:t>
      </w:r>
      <w:hyperlink r:id="rId34">
        <w:r>
          <w:rPr>
            <w:color w:val="0000FF"/>
          </w:rPr>
          <w:t>схемы 3с</w:t>
        </w:r>
      </w:hyperlink>
      <w:r>
        <w:t xml:space="preserve"> и </w:t>
      </w:r>
      <w:hyperlink r:id="rId35">
        <w:r>
          <w:rPr>
            <w:color w:val="0000FF"/>
          </w:rPr>
          <w:t>4с</w:t>
        </w:r>
      </w:hyperlink>
      <w:r>
        <w:t>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г) наносит единый знак обращения продукции на рынке Союза после завершения процедуры подтверждения соответствия;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д) извещает в письменной форме орган по сертификации о внесении изменений в конструкцию оборудования и (или) покрытия или технологию их производства, которые могут повлиять на соответствие оборудования и (или) покрытия требованиям настоящего технического регламента </w:t>
      </w:r>
      <w:hyperlink r:id="rId36">
        <w:r>
          <w:rPr>
            <w:color w:val="0000FF"/>
          </w:rPr>
          <w:t>(схема 1с)</w:t>
        </w:r>
      </w:hyperlink>
      <w:r>
        <w:t>;</w:t>
      </w:r>
    </w:p>
    <w:p w:rsidR="007C41EC" w:rsidRDefault="007C41EC">
      <w:pPr>
        <w:pStyle w:val="ConsPlusNormal"/>
        <w:spacing w:before="200"/>
        <w:ind w:firstLine="540"/>
        <w:jc w:val="both"/>
      </w:pPr>
      <w:bookmarkStart w:id="7" w:name="P261"/>
      <w:bookmarkEnd w:id="7"/>
      <w:r>
        <w:t xml:space="preserve">е) формирует после завершения процедуры подтверждения соответствия техническую документацию, предусмотренную </w:t>
      </w:r>
      <w:hyperlink w:anchor="P244">
        <w:r>
          <w:rPr>
            <w:color w:val="0000FF"/>
          </w:rPr>
          <w:t>подпунктом "б"</w:t>
        </w:r>
      </w:hyperlink>
      <w:r>
        <w:t xml:space="preserve"> настоящего пункта, протокол (протоколы) испытаний оборудования и (или) покрытия, акт анализа состояния производства изготовителя </w:t>
      </w:r>
      <w:hyperlink r:id="rId37">
        <w:r>
          <w:rPr>
            <w:color w:val="0000FF"/>
          </w:rPr>
          <w:t>(схема 1с)</w:t>
        </w:r>
      </w:hyperlink>
      <w:r>
        <w:t xml:space="preserve"> и сертификат соответствия.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60. При сертификации оборудования и (или) покрытия орган по сертификации: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а) анализирует заявку и техническую документацию, представленные заявителем, и информирует заявителя о </w:t>
      </w:r>
      <w:proofErr w:type="gramStart"/>
      <w:r>
        <w:t>решении</w:t>
      </w:r>
      <w:proofErr w:type="gramEnd"/>
      <w:r>
        <w:t xml:space="preserve"> о проведении сертификации (с указанием условий проведения сертификации) или об отказе в ней (с указанием причин);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проводит идентификацию и отбор образцов оборудования и (или) покрытия у заявителя для проведения испытаний;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обеспечивает проведение испытаний образцов оборудования и (или) покрытия (</w:t>
      </w:r>
      <w:hyperlink r:id="rId38">
        <w:r>
          <w:rPr>
            <w:color w:val="0000FF"/>
          </w:rPr>
          <w:t>схемы 1с</w:t>
        </w:r>
      </w:hyperlink>
      <w:r>
        <w:t xml:space="preserve">, </w:t>
      </w:r>
      <w:hyperlink r:id="rId39">
        <w:r>
          <w:rPr>
            <w:color w:val="0000FF"/>
          </w:rPr>
          <w:t>2с</w:t>
        </w:r>
      </w:hyperlink>
      <w:r>
        <w:t xml:space="preserve"> и </w:t>
      </w:r>
      <w:hyperlink r:id="rId40">
        <w:r>
          <w:rPr>
            <w:color w:val="0000FF"/>
          </w:rPr>
          <w:t>3с</w:t>
        </w:r>
      </w:hyperlink>
      <w:r>
        <w:t xml:space="preserve">) или единичного изделия оборудования и (или) покрытия </w:t>
      </w:r>
      <w:hyperlink r:id="rId41">
        <w:r>
          <w:rPr>
            <w:color w:val="0000FF"/>
          </w:rPr>
          <w:t>(схема 4с)</w:t>
        </w:r>
      </w:hyperlink>
      <w:r>
        <w:t xml:space="preserve"> в испытательной лаборатории (центре);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г) проводит анализ состояния производства у изготовителя, результаты которого оформляются соответствующим актом </w:t>
      </w:r>
      <w:hyperlink r:id="rId42">
        <w:r>
          <w:rPr>
            <w:color w:val="0000FF"/>
          </w:rPr>
          <w:t>(схема 1с)</w:t>
        </w:r>
      </w:hyperlink>
      <w:r>
        <w:t>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д) при положительных результатах испытаний образцов оборудования и (или) покрытия, анализа состояния производства </w:t>
      </w:r>
      <w:hyperlink r:id="rId43">
        <w:r>
          <w:rPr>
            <w:color w:val="0000FF"/>
          </w:rPr>
          <w:t>(схема 1с)</w:t>
        </w:r>
      </w:hyperlink>
      <w:r>
        <w:t xml:space="preserve"> и анализа представленной заявителем технической документации оформляет сертификат соответствия по единой </w:t>
      </w:r>
      <w:hyperlink r:id="rId44">
        <w:r>
          <w:rPr>
            <w:color w:val="0000FF"/>
          </w:rPr>
          <w:t>форме</w:t>
        </w:r>
      </w:hyperlink>
      <w:r>
        <w:t>, утвержденной Решением Коллегии Евразийской экономической комиссии от 25 декабря 2012 г. N 293, который выдается заявителю;</w:t>
      </w:r>
    </w:p>
    <w:p w:rsidR="007C41EC" w:rsidRDefault="007C41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41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41EC" w:rsidRDefault="007C41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C41EC" w:rsidRDefault="007C41EC">
            <w:pPr>
              <w:pStyle w:val="ConsPlusNormal"/>
              <w:jc w:val="both"/>
            </w:pPr>
            <w:r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</w:tr>
    </w:tbl>
    <w:p w:rsidR="007C41EC" w:rsidRDefault="007C41EC">
      <w:pPr>
        <w:pStyle w:val="ConsPlusNormal"/>
        <w:spacing w:before="260"/>
        <w:ind w:firstLine="540"/>
        <w:jc w:val="both"/>
      </w:pPr>
      <w:r>
        <w:t xml:space="preserve">е) проводит инспекционный </w:t>
      </w:r>
      <w:proofErr w:type="gramStart"/>
      <w:r>
        <w:t>контроль за</w:t>
      </w:r>
      <w:proofErr w:type="gramEnd"/>
      <w:r>
        <w:t xml:space="preserve">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(или) анализа состояния производства </w:t>
      </w:r>
      <w:hyperlink r:id="rId46">
        <w:r>
          <w:rPr>
            <w:color w:val="0000FF"/>
          </w:rPr>
          <w:t>(схема 1с)</w:t>
        </w:r>
      </w:hyperlink>
      <w:r>
        <w:t>;</w:t>
      </w:r>
    </w:p>
    <w:p w:rsidR="007C41EC" w:rsidRDefault="007C41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41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41EC" w:rsidRDefault="007C41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C41EC" w:rsidRDefault="007C41EC">
            <w:pPr>
              <w:pStyle w:val="ConsPlusNormal"/>
              <w:jc w:val="both"/>
            </w:pPr>
            <w:r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</w:tr>
    </w:tbl>
    <w:p w:rsidR="007C41EC" w:rsidRDefault="007C41EC">
      <w:pPr>
        <w:pStyle w:val="ConsPlusNormal"/>
        <w:spacing w:before="260"/>
        <w:ind w:firstLine="540"/>
        <w:jc w:val="both"/>
      </w:pPr>
      <w:r>
        <w:t xml:space="preserve">ж) проводит инспекционный </w:t>
      </w:r>
      <w:proofErr w:type="gramStart"/>
      <w:r>
        <w:t>контроль за</w:t>
      </w:r>
      <w:proofErr w:type="gramEnd"/>
      <w:r>
        <w:t xml:space="preserve">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 по сертификации систем менеджмента за сертифицированной системой менеджмента </w:t>
      </w:r>
      <w:hyperlink r:id="rId48">
        <w:r>
          <w:rPr>
            <w:color w:val="0000FF"/>
          </w:rPr>
          <w:t>(схема 2с)</w:t>
        </w:r>
      </w:hyperlink>
      <w:r>
        <w:t>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з) по результатам инспекционного контроля: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подтверждает действие сертификата соответствия, о чем указывает в акте инспекционного контроля;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при отрицательных результатах инспекционного контроля принимает решение о приостановлении либо отмене действия сертификата соответствия.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Доводит решение о результатах инспекционного контроля до заявителя;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и) вносит сведения о сертификате соответствия в Единый реестр выданных или принятых документов об оценке соответствия Евразийского экономического союза.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61. 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зарегистрированный на территории государства-члена и аккредитованный в соответствии с законодательством этого государства-члена.</w:t>
      </w:r>
    </w:p>
    <w:p w:rsidR="007C41EC" w:rsidRDefault="007C41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41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41EC" w:rsidRDefault="007C41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C41EC" w:rsidRDefault="007C41EC">
            <w:pPr>
              <w:pStyle w:val="ConsPlusNormal"/>
              <w:jc w:val="both"/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</w:tr>
    </w:tbl>
    <w:p w:rsidR="007C41EC" w:rsidRDefault="007C41EC">
      <w:pPr>
        <w:pStyle w:val="ConsPlusNormal"/>
        <w:spacing w:before="260"/>
        <w:ind w:firstLine="540"/>
        <w:jc w:val="both"/>
      </w:pPr>
      <w:r>
        <w:t>62. Срок действия сертификата соответствия для оборудования и (или) покрытия, выпускаемых серийно, - не более 5 лет, для партии оборудования и (или) покрытия (единичного изделия) срок действия сертификата соответствия не устанавливается.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63. Комплект документов, формируемый после сертификации оборудования и (или) покрытия, указанный в </w:t>
      </w:r>
      <w:hyperlink w:anchor="P261">
        <w:r>
          <w:rPr>
            <w:color w:val="0000FF"/>
          </w:rPr>
          <w:t>подпункте "е" пункта 59</w:t>
        </w:r>
      </w:hyperlink>
      <w:r>
        <w:t xml:space="preserve"> настоящего технического регламента, должен храниться у заявителя и в органе по сертификации в течение следующих сроков: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на оборудование и (или) покрытие, выпускаемые серийно, - не менее 10 лет со дня прекращения действия сертификата соответствия;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на партию продукции (единичное изделие) - не менее 10 лет со дня реализации последнего изделия оборудования и (или) покрытия из партии продукции (единичного изделия).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64. При декларировании соответствия оборудования и (или) покрытия заявителем может быть: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а) для </w:t>
      </w:r>
      <w:hyperlink r:id="rId50">
        <w:r>
          <w:rPr>
            <w:color w:val="0000FF"/>
          </w:rPr>
          <w:t>схем 1д</w:t>
        </w:r>
      </w:hyperlink>
      <w:r>
        <w:t xml:space="preserve"> и </w:t>
      </w:r>
      <w:hyperlink r:id="rId51">
        <w:r>
          <w:rPr>
            <w:color w:val="0000FF"/>
          </w:rPr>
          <w:t>3д</w:t>
        </w:r>
      </w:hyperlink>
      <w:r>
        <w:t xml:space="preserve"> - изготовитель (уполномоченное изготовителем лицо);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б) для </w:t>
      </w:r>
      <w:hyperlink r:id="rId52">
        <w:r>
          <w:rPr>
            <w:color w:val="0000FF"/>
          </w:rPr>
          <w:t>схем 2д</w:t>
        </w:r>
      </w:hyperlink>
      <w:r>
        <w:t xml:space="preserve"> и </w:t>
      </w:r>
      <w:hyperlink r:id="rId53">
        <w:r>
          <w:rPr>
            <w:color w:val="0000FF"/>
          </w:rPr>
          <w:t>4д</w:t>
        </w:r>
      </w:hyperlink>
      <w:r>
        <w:t xml:space="preserve"> - изготовитель (уполномоченное изготовителем лицо) или продавец.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65. Выбор схемы декларирования соответствия оборудования и (или) покрытия осуществляется заявителем.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66. Декларирование соответствия оборудования и (или) покрытия по </w:t>
      </w:r>
      <w:hyperlink r:id="rId54">
        <w:r>
          <w:rPr>
            <w:color w:val="0000FF"/>
          </w:rPr>
          <w:t>схемам 1д</w:t>
        </w:r>
      </w:hyperlink>
      <w:r>
        <w:t xml:space="preserve"> и </w:t>
      </w:r>
      <w:hyperlink r:id="rId55">
        <w:r>
          <w:rPr>
            <w:color w:val="0000FF"/>
          </w:rPr>
          <w:t>2д</w:t>
        </w:r>
      </w:hyperlink>
      <w:r>
        <w:t xml:space="preserve"> осуществляется заявителем на основании собственных доказательств. 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Декларирование соответствия оборудования и (или) покрытия по </w:t>
      </w:r>
      <w:hyperlink r:id="rId56">
        <w:r>
          <w:rPr>
            <w:color w:val="0000FF"/>
          </w:rPr>
          <w:t>схемам 3д</w:t>
        </w:r>
      </w:hyperlink>
      <w:r>
        <w:t xml:space="preserve"> и </w:t>
      </w:r>
      <w:hyperlink r:id="rId57">
        <w:r>
          <w:rPr>
            <w:color w:val="0000FF"/>
          </w:rPr>
          <w:t>4д</w:t>
        </w:r>
      </w:hyperlink>
      <w:r>
        <w:t xml:space="preserve">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67. При декларировании соответствия оборудования и (или) покрытия заявитель:</w:t>
      </w:r>
    </w:p>
    <w:p w:rsidR="007C41EC" w:rsidRDefault="007C41EC">
      <w:pPr>
        <w:pStyle w:val="ConsPlusNormal"/>
        <w:spacing w:before="200"/>
        <w:ind w:firstLine="540"/>
        <w:jc w:val="both"/>
      </w:pPr>
      <w:bookmarkStart w:id="8" w:name="P294"/>
      <w:bookmarkEnd w:id="8"/>
      <w:r>
        <w:t xml:space="preserve">а) </w:t>
      </w:r>
      <w:proofErr w:type="gramStart"/>
      <w:r>
        <w:t>формирует и анализирует</w:t>
      </w:r>
      <w:proofErr w:type="gramEnd"/>
      <w:r>
        <w:t xml:space="preserve"> документы, подтверждающие соответствие оборудования и (или) покрытия требованиям настоящего технического регламента, в том числе: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паспорт (для оборудования);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конструкторскую документацию (</w:t>
      </w:r>
      <w:hyperlink r:id="rId58">
        <w:r>
          <w:rPr>
            <w:color w:val="0000FF"/>
          </w:rPr>
          <w:t>схемы 1д</w:t>
        </w:r>
      </w:hyperlink>
      <w:r>
        <w:t xml:space="preserve"> и </w:t>
      </w:r>
      <w:hyperlink r:id="rId59">
        <w:r>
          <w:rPr>
            <w:color w:val="0000FF"/>
          </w:rPr>
          <w:t>3д</w:t>
        </w:r>
      </w:hyperlink>
      <w:r>
        <w:t>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документ, по которому произведено оборудование и (или) покрытие (</w:t>
      </w:r>
      <w:hyperlink r:id="rId60">
        <w:r>
          <w:rPr>
            <w:color w:val="0000FF"/>
          </w:rPr>
          <w:t>схемы 1д</w:t>
        </w:r>
      </w:hyperlink>
      <w:r>
        <w:t xml:space="preserve"> и </w:t>
      </w:r>
      <w:hyperlink r:id="rId61">
        <w:r>
          <w:rPr>
            <w:color w:val="0000FF"/>
          </w:rPr>
          <w:t>3д</w:t>
        </w:r>
      </w:hyperlink>
      <w:r>
        <w:t>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результаты прочностных расчетов;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протокол (протоколы) испытаний образцов оборудования и (или) покрытия, проведенных в собственной испытательной лаборатории заявителя и (или) испытательной лабораторией (центром);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документ о подтверждении характеристик материалов и комплектующих изделий (при наличии);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сертификаты соответствия, декларации о соответствии или протоколы испытаний в отношении материалов и комплектующих изделий (при наличии);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перечень стандартов, указанных в </w:t>
      </w:r>
      <w:hyperlink w:anchor="P217">
        <w:r>
          <w:rPr>
            <w:color w:val="0000FF"/>
          </w:rPr>
          <w:t>разделе VIII</w:t>
        </w:r>
      </w:hyperlink>
      <w: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контракт (договор на поставку) и товаросопроводительную документацию для партии продукции (единичного изделия) (</w:t>
      </w:r>
      <w:hyperlink r:id="rId62">
        <w:r>
          <w:rPr>
            <w:color w:val="0000FF"/>
          </w:rPr>
          <w:t>схемы 2д</w:t>
        </w:r>
      </w:hyperlink>
      <w:r>
        <w:t xml:space="preserve"> и </w:t>
      </w:r>
      <w:hyperlink r:id="rId63">
        <w:r>
          <w:rPr>
            <w:color w:val="0000FF"/>
          </w:rPr>
          <w:t>4д</w:t>
        </w:r>
      </w:hyperlink>
      <w:r>
        <w:t>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б) проводит идентификацию оборудования и (или) покрытия в соответствии с </w:t>
      </w:r>
      <w:hyperlink w:anchor="P77">
        <w:r>
          <w:rPr>
            <w:color w:val="0000FF"/>
          </w:rPr>
          <w:t>разделом III</w:t>
        </w:r>
      </w:hyperlink>
      <w:r>
        <w:t xml:space="preserve"> настоящего технического регламента;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обеспечивает проведение производственного контроля и принимает</w:t>
      </w:r>
      <w:proofErr w:type="gramEnd"/>
      <w:r>
        <w:t xml:space="preserve">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г) принимает декларацию о соответствии, которая оформляется по единой </w:t>
      </w:r>
      <w:hyperlink r:id="rId64">
        <w:r>
          <w:rPr>
            <w:color w:val="0000FF"/>
          </w:rPr>
          <w:t>форме</w:t>
        </w:r>
      </w:hyperlink>
      <w:r>
        <w:t xml:space="preserve"> и </w:t>
      </w:r>
      <w:hyperlink r:id="rId65">
        <w:r>
          <w:rPr>
            <w:color w:val="0000FF"/>
          </w:rPr>
          <w:t>правилам</w:t>
        </w:r>
      </w:hyperlink>
      <w:r>
        <w:t>, утвержденным Решением Коллегии Евразийской экономической комиссии от 25 декабря 2012 г. N 293;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д) наносит единый знак обращения продукции на рынке Союза после завершения процедуры декларирования соответствия;</w:t>
      </w:r>
    </w:p>
    <w:p w:rsidR="007C41EC" w:rsidRDefault="007C41EC">
      <w:pPr>
        <w:pStyle w:val="ConsPlusNormal"/>
        <w:spacing w:before="200"/>
        <w:ind w:firstLine="540"/>
        <w:jc w:val="both"/>
      </w:pPr>
      <w:bookmarkStart w:id="9" w:name="P309"/>
      <w:bookmarkEnd w:id="9"/>
      <w:r>
        <w:t xml:space="preserve">е) формирует после завершения процедуры декларирования соответствия оборудования и (или) покрытия комплект документов, который включает в себя документы, предусмотренные </w:t>
      </w:r>
      <w:hyperlink w:anchor="P294">
        <w:r>
          <w:rPr>
            <w:color w:val="0000FF"/>
          </w:rPr>
          <w:t>подпунктом "а"</w:t>
        </w:r>
      </w:hyperlink>
      <w:r>
        <w:t xml:space="preserve"> настоящего пункта, и декларацию о соответствии.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68. Декларация о соответствии подлежит </w:t>
      </w:r>
      <w:hyperlink r:id="rId66">
        <w:r>
          <w:rPr>
            <w:color w:val="0000FF"/>
          </w:rPr>
          <w:t>регистрации</w:t>
        </w:r>
      </w:hyperlink>
      <w:r>
        <w:t xml:space="preserve"> в порядке, установленном </w:t>
      </w:r>
      <w:hyperlink r:id="rId67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9 апреля 2013 г. N 76.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69. Комплект документов, формируемый после декларирования соответствия оборудования и (или) покрытия, указанный в </w:t>
      </w:r>
      <w:hyperlink w:anchor="P309">
        <w:r>
          <w:rPr>
            <w:color w:val="0000FF"/>
          </w:rPr>
          <w:t>подпункте "е" пункта 67</w:t>
        </w:r>
      </w:hyperlink>
      <w:r>
        <w:t xml:space="preserve"> настоящего технического регламента, должен храниться у заявителя в течение следующих сроков: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на оборудование и (или) покрытие, выпускаемые серийно, - не менее 5 лет со дня прекращения действия декларации о соответствии;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на партию продукции (единичное изделие) - не менее 5 лет со дня реализации последнего изделия оборудования и (или) покрытия из партии продукции (единичного изделия).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:rsidR="007C41EC" w:rsidRDefault="007C41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41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41EC" w:rsidRDefault="007C41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C41EC" w:rsidRDefault="007C41EC">
            <w:pPr>
              <w:pStyle w:val="ConsPlusNormal"/>
              <w:jc w:val="both"/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6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1EC" w:rsidRDefault="007C41EC">
            <w:pPr>
              <w:pStyle w:val="ConsPlusNormal"/>
            </w:pPr>
          </w:p>
        </w:tc>
      </w:tr>
    </w:tbl>
    <w:p w:rsidR="007C41EC" w:rsidRDefault="007C41EC">
      <w:pPr>
        <w:pStyle w:val="ConsPlusNormal"/>
        <w:spacing w:before="260"/>
        <w:ind w:firstLine="540"/>
        <w:jc w:val="both"/>
      </w:pPr>
      <w:r>
        <w:t>70. 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 (или) покрытия (единичного изделия) срок действия декларации о соответствии не устанавливается.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71. После выпуска в обращение в течение назначенного срока службы аккредитованной (уполномоченной) организацией осуществляется оценка соответствия оборудования и (или) покрытия в форме оценки технического состояния (технического освидетельствования).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технического состояния (технического освидетельствования) устанавливается законодательством государств-членов.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r>
        <w:t>X. Маркировка оборудования и (или) покрытия единым знаком</w:t>
      </w:r>
    </w:p>
    <w:p w:rsidR="007C41EC" w:rsidRDefault="007C41EC">
      <w:pPr>
        <w:pStyle w:val="ConsPlusNormal"/>
        <w:jc w:val="center"/>
      </w:pPr>
      <w:r>
        <w:t>обращения продукции на рынке Союза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72. Оборудование и (или) покрытие, соответствующие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обращения продукции на рынке Союза.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73. 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74. Единый знак обращения продукции на рынке Союза наносится на каждую единицу оборудования и (или)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продукции на рынке Союза только на упаковку и его указание в прилагаемом паспорте, если знак невозможно нанести непосредственно на оборудование и (или) покрытие.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75. Маркировка оборудования и (или) покрытия единым знаком обращения продукции на рынке Союза свидетельствует о соответствии их требованиям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1"/>
      </w:pPr>
      <w:r>
        <w:t>XI. Государственный контроль (надзор)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76. Государственный контроль (надзор) за соблюдением требований настоящего технического регламента проводится в соответствии с законодательством государств-членов.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right"/>
        <w:outlineLvl w:val="1"/>
      </w:pPr>
      <w:r>
        <w:t>Приложение N 1</w:t>
      </w:r>
    </w:p>
    <w:p w:rsidR="007C41EC" w:rsidRDefault="007C41EC">
      <w:pPr>
        <w:pStyle w:val="ConsPlusNormal"/>
        <w:jc w:val="right"/>
      </w:pPr>
      <w:r>
        <w:t>к техническому регламенту</w:t>
      </w:r>
    </w:p>
    <w:p w:rsidR="007C41EC" w:rsidRDefault="007C41EC">
      <w:pPr>
        <w:pStyle w:val="ConsPlusNormal"/>
        <w:jc w:val="right"/>
      </w:pPr>
      <w:r>
        <w:t>Евразийского экономического союза</w:t>
      </w:r>
    </w:p>
    <w:p w:rsidR="007C41EC" w:rsidRDefault="007C41EC">
      <w:pPr>
        <w:pStyle w:val="ConsPlusNormal"/>
        <w:jc w:val="right"/>
      </w:pPr>
      <w:r>
        <w:t>"О безопасности оборудования</w:t>
      </w:r>
    </w:p>
    <w:p w:rsidR="007C41EC" w:rsidRDefault="007C41EC">
      <w:pPr>
        <w:pStyle w:val="ConsPlusNormal"/>
        <w:jc w:val="right"/>
      </w:pPr>
      <w:r>
        <w:t>для детских игровых площадок"</w:t>
      </w:r>
    </w:p>
    <w:p w:rsidR="007C41EC" w:rsidRDefault="007C41EC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</w:pPr>
      <w:bookmarkStart w:id="10" w:name="P344"/>
      <w:bookmarkEnd w:id="10"/>
      <w:r>
        <w:t>ПЕРЕЧЕНЬ</w:t>
      </w:r>
    </w:p>
    <w:p w:rsidR="007C41EC" w:rsidRDefault="007C41EC">
      <w:pPr>
        <w:pStyle w:val="ConsPlusNormal"/>
        <w:jc w:val="center"/>
      </w:pPr>
      <w:r>
        <w:t>ПРОДУКЦИИ, НА КОТОРУЮ РАСПРОСТРАНЯЮТСЯ ТРЕБОВАНИЯ</w:t>
      </w:r>
    </w:p>
    <w:p w:rsidR="007C41EC" w:rsidRDefault="007C41EC">
      <w:pPr>
        <w:pStyle w:val="ConsPlusNormal"/>
        <w:jc w:val="center"/>
      </w:pPr>
      <w:r>
        <w:t>ТЕХНИЧЕСКОГО РЕГЛАМЕНТА ЕВРАЗИЙСКОГО ЭКОНОМИЧЕСКОГО СОЮЗА</w:t>
      </w:r>
    </w:p>
    <w:p w:rsidR="007C41EC" w:rsidRDefault="007C41EC">
      <w:pPr>
        <w:pStyle w:val="ConsPlusNormal"/>
        <w:jc w:val="center"/>
      </w:pPr>
      <w:r>
        <w:t>"О БЕЗОПАСНОСТИ ОБОРУДОВАНИЯ ДЛЯ ДЕТСКИХ ИГРОВЫХ ПЛОЩАДОК"</w:t>
      </w:r>
    </w:p>
    <w:p w:rsidR="007C41EC" w:rsidRDefault="007C41EC">
      <w:pPr>
        <w:pStyle w:val="ConsPlusNormal"/>
        <w:jc w:val="center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:rsidR="007C41EC" w:rsidRDefault="007C41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91"/>
        <w:gridCol w:w="3912"/>
      </w:tblGrid>
      <w:tr w:rsidR="007C41E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Вид оборудования, покрытия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Характеристика вида оборудования, покрытия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Тип оборудования, покрытия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1. Горка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отдельно стоящая горка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пристраиваемая горка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горка-волна (волнообразная горка)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горка "на склоне" (горка на склоне холма, насыпи, берега)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спиральная горка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криволинейная горка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тоннельная горка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комбинированная тоннельная горка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горка с несколькими трассами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2. Качели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оборудование для детской игровой площадки, приводимое в движение ребенком, масса которого располагается ниже шарнира, относительно которого осуществляется качание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качели с одной осью вращения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качели с несколькими осями вращения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качели с одной точкой подвеса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качели коллективные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3. Качалка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оборудование для детской игровой площадки, которое приводится в движение ребенком (детьми) и на котором осуществляется колебательное движение в различных плоскостях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качалка-балансир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качалка с одной опорой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качалка с одной опорой, обеспечивающая при качании движение ребенка (детей) в нескольких плоскостях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качалка с несколькими опорами, обеспечивающая при качании движение ребенка (детей) преимущественно в одной плоскости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качалка с несколькими опорами, обеспечивающая при качании движение ребенка (детей) в нескольких плоскостях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шатунная качалка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качалка с одной осью качания, расположенной на высоте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качалка с вращением вокруг центральной оси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4. Карусель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оборудование для детской игровой площадки с одним посадочным местом или более, вращающееся вокруг вертикальной оси, с углом наклона от вертикали не более 5°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вращающиеся кресла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вращающаяся платформа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вращающийся гриб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планирование в воздухе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движение по круговой колее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большой вращающийся диск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5. Канатная дорога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оборудование для детской игровой площадки, на котором ребенок катается под действием силы тяжести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канатная дорога: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283"/>
            </w:pPr>
            <w:r>
              <w:t>с подвесной рукояткой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283"/>
            </w:pPr>
            <w:r>
              <w:t>с сиденьем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6. 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оборудование для детской игровой площадки, предназначенное для игры, физического развития, воспитания ловкости и смелости детей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детский городок (игровой комплекс)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оборудование и элементы детских городков (игровых комплексов):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башня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рукоход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стенка шведская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стенка для лазания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тоннель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мостик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трап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лестница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спираль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шест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  <w:jc w:val="both"/>
            </w:pPr>
            <w:r>
              <w:t>гибкие элементы для лазания (лестница, сеть, паутина)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ind w:left="540"/>
            </w:pPr>
            <w:r>
              <w:t>игровое оборудование, в том числе песочница, игровой домик, лабиринт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  <w:r>
              <w:t>7. Ударопоглощающее покрытие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  <w:r>
              <w:t>покрытие для детской игровой площадки, обладающее амортизационными свойствами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покрытие песчаное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покрытие гравийное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покрытие дерновое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покрытие из дробленой древесины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покрытие резиновое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  <w:r>
              <w:t>покрытие синтетическое</w:t>
            </w:r>
          </w:p>
        </w:tc>
      </w:tr>
    </w:tbl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right"/>
        <w:outlineLvl w:val="1"/>
      </w:pPr>
      <w:r>
        <w:t>Приложение N 2</w:t>
      </w:r>
    </w:p>
    <w:p w:rsidR="007C41EC" w:rsidRDefault="007C41EC">
      <w:pPr>
        <w:pStyle w:val="ConsPlusNormal"/>
        <w:jc w:val="right"/>
      </w:pPr>
      <w:r>
        <w:t>к техническому регламенту</w:t>
      </w:r>
    </w:p>
    <w:p w:rsidR="007C41EC" w:rsidRDefault="007C41EC">
      <w:pPr>
        <w:pStyle w:val="ConsPlusNormal"/>
        <w:jc w:val="right"/>
      </w:pPr>
      <w:r>
        <w:t>Евразийского экономического союза</w:t>
      </w:r>
    </w:p>
    <w:p w:rsidR="007C41EC" w:rsidRDefault="007C41EC">
      <w:pPr>
        <w:pStyle w:val="ConsPlusNormal"/>
        <w:jc w:val="right"/>
      </w:pPr>
      <w:r>
        <w:t>"О безопасности оборудования</w:t>
      </w:r>
    </w:p>
    <w:p w:rsidR="007C41EC" w:rsidRDefault="007C41EC">
      <w:pPr>
        <w:pStyle w:val="ConsPlusNormal"/>
        <w:jc w:val="right"/>
      </w:pPr>
      <w:r>
        <w:t>для детских игровых площадок"</w:t>
      </w:r>
    </w:p>
    <w:p w:rsidR="007C41EC" w:rsidRDefault="007C41EC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</w:pPr>
      <w:bookmarkStart w:id="11" w:name="P429"/>
      <w:bookmarkEnd w:id="11"/>
      <w:r>
        <w:t>ТРЕБОВАНИЯ</w:t>
      </w:r>
    </w:p>
    <w:p w:rsidR="007C41EC" w:rsidRDefault="007C41EC">
      <w:pPr>
        <w:pStyle w:val="ConsPlusNormal"/>
        <w:jc w:val="center"/>
      </w:pPr>
      <w:r>
        <w:t>К ГИГИЕНИЧЕСКОЙ БЕЗОПАСНОСТИ МАТЕРИАЛОВ, ПРИМЕНЯЕМЫХ</w:t>
      </w:r>
    </w:p>
    <w:p w:rsidR="007C41EC" w:rsidRDefault="007C41EC">
      <w:pPr>
        <w:pStyle w:val="ConsPlusNormal"/>
        <w:jc w:val="center"/>
      </w:pPr>
      <w:r>
        <w:t>ПРИ ПРОИЗВОДСТВЕ ОБОРУДОВАНИЯ И ПОКРЫТИЯ ДЛЯ ДЕТСКИХ</w:t>
      </w:r>
    </w:p>
    <w:p w:rsidR="007C41EC" w:rsidRDefault="007C41EC">
      <w:pPr>
        <w:pStyle w:val="ConsPlusNormal"/>
        <w:jc w:val="center"/>
      </w:pPr>
      <w:r>
        <w:t>ИГРОВЫХ ПЛОЩАДОК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1. Интенсивность запаха материалов, применяемых при производстве оборудования и покрытия для детских игровых площадок (далее - материалы), не должна превышать 2 баллов.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2. Уровень напряженности электростатического поля на поверхности полимерных, полимерсодержащих материалов, синтетических и смешанных текстильных материалов в условиях эксплуатации не должен превышать 15,0 кВ/м.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3. Материалы не должны стимулировать рост и развитие микрофлоры, в том числе патогенной.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4. Удельная эффективная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древесносодержащих материалах не должна превышать 300 Бк/кг.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5. Защитно-декоративное покрытие оборудования и покрытий должно быть стойким к влажной обработке, оборудования - к действию слюны, пота и влаги.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6. Оборудование не должно оказывать местное кожно-раздражающее действие, или индекс токсичности оборудования, определяемый в водной среде (дистиллированная среда), должен быть в пределах от 70 до 120% включительно, в воздушной среде - от 80 до 120% включительно.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7. Материалы не должны выделять в окружающую среду летучие вещества в количествах, которые могут оказывать прямое или косвенное неблагоприятное действие на организм человека (с учетом совместного действия всех выделяющихся веществ).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проводится по общим требованиям к классификации опасной химической продукции в соответствии с законодательством государств - членов Евразийского экономического союза), а выделение остальных веществ не должно превышать гигиенические нормативы, указанные в таблице (при выделении из материалов нескольких химических веществ, обладающих суммацией</w:t>
      </w:r>
      <w:proofErr w:type="gramEnd"/>
      <w:r>
        <w:t xml:space="preserve"> действия, сумма отношений концентраций к их предельно допустимым концентрациям не должна превышать 1).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  <w:outlineLvl w:val="2"/>
      </w:pPr>
      <w:r>
        <w:t>Гигиенические нормативы выделения вредных веществ</w:t>
      </w:r>
    </w:p>
    <w:p w:rsidR="007C41EC" w:rsidRDefault="007C41EC">
      <w:pPr>
        <w:pStyle w:val="ConsPlusNormal"/>
        <w:jc w:val="center"/>
      </w:pPr>
      <w:r>
        <w:t>из материалов, применяемых при производстве оборудования</w:t>
      </w:r>
    </w:p>
    <w:p w:rsidR="007C41EC" w:rsidRDefault="007C41EC">
      <w:pPr>
        <w:pStyle w:val="ConsPlusNormal"/>
        <w:jc w:val="center"/>
      </w:pPr>
      <w:r>
        <w:t>и покрытия для детских игровых площадок</w:t>
      </w:r>
    </w:p>
    <w:p w:rsidR="007C41EC" w:rsidRDefault="007C41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405"/>
        <w:gridCol w:w="1991"/>
        <w:gridCol w:w="2002"/>
      </w:tblGrid>
      <w:tr w:rsidR="007C41EC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Наименование материала (вещества)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Санитарно-эпидемиологические требования</w:t>
            </w:r>
          </w:p>
        </w:tc>
      </w:tr>
      <w:tr w:rsidR="007C41EC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допустимый уровень миграции в воздушную среду,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допустимый уровень миграции в водную среду, мг/дм</w:t>
            </w:r>
            <w:r>
              <w:rPr>
                <w:vertAlign w:val="superscript"/>
              </w:rPr>
              <w:t>3</w:t>
            </w:r>
          </w:p>
        </w:tc>
      </w:tr>
      <w:tr w:rsidR="007C41EC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C41EC" w:rsidRDefault="007C41EC">
            <w:pPr>
              <w:pStyle w:val="ConsPlusNormal"/>
              <w:jc w:val="center"/>
            </w:pPr>
            <w:r>
              <w:t>4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  <w:outlineLvl w:val="3"/>
            </w:pPr>
            <w:r>
              <w:t>I. Полимерные и полимерсодержащие материалы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1. Поливинилхлорид пластифицированный (суспензионный и эмульсионный)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хлористый водород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бензол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2. Фенолформальдегидные, меламинформальдегидные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аммиак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3. Карбамидные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аммиак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4. Синтетические каучуки на основе бутадиена и сополимеров бутадиена с акрилонитрилом и стиролом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водород цианистый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5. Полистирольные пластики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полистирол (блочный, суспензионный, ударопрочный), сополимер стирола с акрилонитрилом, АБС-пластики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сополимер стирола с метакрилатом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метилметакрилат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сополимер стирола с бутадиеном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вспененные полистиролы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both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6. Полиуретаны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бутилацетат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водород цианистый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этиленгликоль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1,0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7. Эпоксидные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эпихлоргидрин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8. Полиэфирные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фталевый ангидрид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этиленгликоль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1,0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9. Полимерсодержащие материалы на основе винилового спирта и его производных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винилацетат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10. Полимерсодержащие материалы на основе акриловой и метакриловой кислот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метилметакрилат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11. Полимерсодержащие материалы на основе полиэтилена и полипропилена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12. Полиамид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капролактам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13. Полимерсодержащие материалы на минеральной основе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ангидрид фосфорный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диоксид серы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14. Полимерсодержащие материалы на основе целлюлозы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аммиак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15. Резина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16. Древесина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изобутиловый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аммиак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  <w:outlineLvl w:val="3"/>
            </w:pPr>
            <w:r>
              <w:t>II. Текстильные материалы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17. </w:t>
            </w:r>
            <w:proofErr w:type="gramStart"/>
            <w:r>
              <w:t>Натуральные</w:t>
            </w:r>
            <w:proofErr w:type="gramEnd"/>
            <w:r>
              <w:t xml:space="preserve"> из растительного сырья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18. Искусственные вискозные и ацетатные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19. Полиэфирные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диметилтерефталат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1,5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20. Полиамидные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капролактам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гексаметилендиамин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21. Полиакрилонитрильные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диметилформамид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10,0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винилацетат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0,2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  <w:r>
              <w:t>22. Поливинилхлоридные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ацетон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бензол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0,01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2,0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C41EC" w:rsidRDefault="007C41EC">
            <w:pPr>
              <w:pStyle w:val="ConsPlusNormal"/>
              <w:jc w:val="center"/>
            </w:pPr>
            <w:r>
              <w:t>0,05</w:t>
            </w:r>
          </w:p>
        </w:tc>
      </w:tr>
      <w:tr w:rsidR="007C41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1EC" w:rsidRDefault="007C41E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1EC" w:rsidRDefault="007C41EC">
            <w:pPr>
              <w:pStyle w:val="ConsPlusNormal"/>
              <w:jc w:val="center"/>
            </w:pPr>
            <w:r>
              <w:t>0,1</w:t>
            </w:r>
          </w:p>
        </w:tc>
      </w:tr>
    </w:tbl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--------------------------------</w:t>
      </w:r>
    </w:p>
    <w:p w:rsidR="007C41EC" w:rsidRDefault="007C41EC">
      <w:pPr>
        <w:pStyle w:val="ConsPlusNormal"/>
        <w:spacing w:before="200"/>
        <w:ind w:firstLine="540"/>
        <w:jc w:val="both"/>
      </w:pPr>
      <w:bookmarkStart w:id="12" w:name="P837"/>
      <w:bookmarkEnd w:id="12"/>
      <w:r>
        <w:t>&lt;*&gt; Миграция химических веществ определяется только в воздушной среде.</w:t>
      </w:r>
    </w:p>
    <w:p w:rsidR="007C41EC" w:rsidRDefault="007C41EC">
      <w:pPr>
        <w:pStyle w:val="ConsPlusNormal"/>
        <w:spacing w:before="200"/>
        <w:ind w:firstLine="540"/>
        <w:jc w:val="both"/>
      </w:pPr>
      <w:bookmarkStart w:id="13" w:name="P838"/>
      <w:bookmarkEnd w:id="13"/>
      <w:r>
        <w:t>&lt;**&gt; Показатели являются взаимозаменяемыми.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Примечания: 1. Обязательной модельной средой при проведении санитарно-химических исследований является воздушная среда.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2. Из деталей оборудования, имеющих непосредственный контакт с кожей, миграция вредных химических веществ определяется только в водную модельную среду.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right"/>
        <w:outlineLvl w:val="1"/>
      </w:pPr>
      <w:r>
        <w:t>Приложение N 3</w:t>
      </w:r>
    </w:p>
    <w:p w:rsidR="007C41EC" w:rsidRDefault="007C41EC">
      <w:pPr>
        <w:pStyle w:val="ConsPlusNormal"/>
        <w:jc w:val="right"/>
      </w:pPr>
      <w:r>
        <w:t>к техническому регламенту</w:t>
      </w:r>
    </w:p>
    <w:p w:rsidR="007C41EC" w:rsidRDefault="007C41EC">
      <w:pPr>
        <w:pStyle w:val="ConsPlusNormal"/>
        <w:jc w:val="right"/>
      </w:pPr>
      <w:r>
        <w:t>Евразийского экономического союза</w:t>
      </w:r>
    </w:p>
    <w:p w:rsidR="007C41EC" w:rsidRDefault="007C41EC">
      <w:pPr>
        <w:pStyle w:val="ConsPlusNormal"/>
        <w:jc w:val="right"/>
      </w:pPr>
      <w:r>
        <w:t>"О безопасности оборудования</w:t>
      </w:r>
    </w:p>
    <w:p w:rsidR="007C41EC" w:rsidRDefault="007C41EC">
      <w:pPr>
        <w:pStyle w:val="ConsPlusNormal"/>
        <w:jc w:val="right"/>
      </w:pPr>
      <w:r>
        <w:t>для детских игровых площадок"</w:t>
      </w:r>
    </w:p>
    <w:p w:rsidR="007C41EC" w:rsidRDefault="007C41EC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</w:pPr>
      <w:bookmarkStart w:id="14" w:name="P854"/>
      <w:bookmarkEnd w:id="14"/>
      <w:r>
        <w:t>ПЕРЕЧЕНЬ</w:t>
      </w:r>
    </w:p>
    <w:p w:rsidR="007C41EC" w:rsidRDefault="007C41EC">
      <w:pPr>
        <w:pStyle w:val="ConsPlusNormal"/>
        <w:jc w:val="center"/>
      </w:pPr>
      <w:r>
        <w:t>ПРОДУКЦИИ, ПОДЛЕЖАЩЕЙ ОБЯЗАТЕЛЬНОМУ ПОДТВЕРЖДЕНИЮ</w:t>
      </w:r>
    </w:p>
    <w:p w:rsidR="007C41EC" w:rsidRDefault="007C41EC">
      <w:pPr>
        <w:pStyle w:val="ConsPlusNormal"/>
        <w:jc w:val="center"/>
      </w:pPr>
      <w:r>
        <w:t>СООТВЕТСТВИЯ ТРЕБОВАНИЯМ ТЕХНИЧЕСКОГО РЕГЛАМЕНТА</w:t>
      </w:r>
    </w:p>
    <w:p w:rsidR="007C41EC" w:rsidRDefault="007C41EC">
      <w:pPr>
        <w:pStyle w:val="ConsPlusNormal"/>
        <w:jc w:val="center"/>
      </w:pPr>
      <w:r>
        <w:t>ЕВРАЗИЙСКОГО ЭКОНОМИЧЕСКОГО СОЮЗА "О БЕЗОПАСНОСТИ</w:t>
      </w:r>
    </w:p>
    <w:p w:rsidR="007C41EC" w:rsidRDefault="007C41EC">
      <w:pPr>
        <w:pStyle w:val="ConsPlusNormal"/>
        <w:jc w:val="center"/>
      </w:pPr>
      <w:r>
        <w:t>ОБОРУДОВАНИЯ ДЛЯ ДЕТСКИХ ИГРОВЫХ ПЛОЩАДОК"</w:t>
      </w:r>
    </w:p>
    <w:p w:rsidR="007C41EC" w:rsidRDefault="007C41EC">
      <w:pPr>
        <w:pStyle w:val="ConsPlusNormal"/>
        <w:jc w:val="center"/>
      </w:pPr>
      <w:r>
        <w:t>(</w:t>
      </w:r>
      <w:proofErr w:type="gramStart"/>
      <w:r>
        <w:t>ТР</w:t>
      </w:r>
      <w:proofErr w:type="gramEnd"/>
      <w:r>
        <w:t xml:space="preserve"> ЕАЭС 042/2017) В ФОРМЕ СЕРТИФИКАЦИИ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1. Оборудование для детской игровой площадки: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горка детской игровой площадки;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качели детской игровой площадки;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качалка детской игровой площадки;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г) карусель детской игровой площадки;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д) канатная дорога детской игровой площадки;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е) детский городок (игровой комплекс).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2. Ударопоглощающее покрытие для детской игровой площадки: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покрытие резиновое;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покрытие синтетическое.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right"/>
        <w:outlineLvl w:val="1"/>
      </w:pPr>
      <w:r>
        <w:t>Приложение N 4</w:t>
      </w:r>
    </w:p>
    <w:p w:rsidR="007C41EC" w:rsidRDefault="007C41EC">
      <w:pPr>
        <w:pStyle w:val="ConsPlusNormal"/>
        <w:jc w:val="right"/>
      </w:pPr>
      <w:r>
        <w:t>к техническому регламенту</w:t>
      </w:r>
    </w:p>
    <w:p w:rsidR="007C41EC" w:rsidRDefault="007C41EC">
      <w:pPr>
        <w:pStyle w:val="ConsPlusNormal"/>
        <w:jc w:val="right"/>
      </w:pPr>
      <w:r>
        <w:t>Евразийского экономического союза</w:t>
      </w:r>
    </w:p>
    <w:p w:rsidR="007C41EC" w:rsidRDefault="007C41EC">
      <w:pPr>
        <w:pStyle w:val="ConsPlusNormal"/>
        <w:jc w:val="right"/>
      </w:pPr>
      <w:r>
        <w:t>"О безопасности оборудования</w:t>
      </w:r>
    </w:p>
    <w:p w:rsidR="007C41EC" w:rsidRDefault="007C41EC">
      <w:pPr>
        <w:pStyle w:val="ConsPlusNormal"/>
        <w:jc w:val="right"/>
      </w:pPr>
      <w:r>
        <w:t>для детских игровых площадок"</w:t>
      </w:r>
    </w:p>
    <w:p w:rsidR="007C41EC" w:rsidRDefault="007C41EC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jc w:val="center"/>
      </w:pPr>
      <w:bookmarkStart w:id="15" w:name="P883"/>
      <w:bookmarkEnd w:id="15"/>
      <w:r>
        <w:t>ПЕРЕЧЕНЬ</w:t>
      </w:r>
    </w:p>
    <w:p w:rsidR="007C41EC" w:rsidRDefault="007C41EC">
      <w:pPr>
        <w:pStyle w:val="ConsPlusNormal"/>
        <w:jc w:val="center"/>
      </w:pPr>
      <w:r>
        <w:t>ПРОДУКЦИИ, ПОДЛЕЖАЩЕЙ ОБЯЗАТЕЛЬНОМУ ПОДТВЕРЖДЕНИЮ</w:t>
      </w:r>
    </w:p>
    <w:p w:rsidR="007C41EC" w:rsidRDefault="007C41EC">
      <w:pPr>
        <w:pStyle w:val="ConsPlusNormal"/>
        <w:jc w:val="center"/>
      </w:pPr>
      <w:r>
        <w:t>СООТВЕТСТВИЯ ТРЕБОВАНИЯМ ТЕХНИЧЕСКОГО РЕГЛАМЕНТА</w:t>
      </w:r>
    </w:p>
    <w:p w:rsidR="007C41EC" w:rsidRDefault="007C41EC">
      <w:pPr>
        <w:pStyle w:val="ConsPlusNormal"/>
        <w:jc w:val="center"/>
      </w:pPr>
      <w:r>
        <w:t>ЕВРАЗИЙСКОГО ЭКОНОМИЧЕСКОГО СОЮЗА "О БЕЗОПАСНОСТИ</w:t>
      </w:r>
    </w:p>
    <w:p w:rsidR="007C41EC" w:rsidRDefault="007C41EC">
      <w:pPr>
        <w:pStyle w:val="ConsPlusNormal"/>
        <w:jc w:val="center"/>
      </w:pPr>
      <w:r>
        <w:t>ОБОРУДОВАНИЯ ДЛЯ ДЕТСКИХ ИГРОВЫХ ПЛОЩАДОК"</w:t>
      </w:r>
    </w:p>
    <w:p w:rsidR="007C41EC" w:rsidRDefault="007C41EC">
      <w:pPr>
        <w:pStyle w:val="ConsPlusNormal"/>
        <w:jc w:val="center"/>
      </w:pPr>
      <w:r>
        <w:t>(</w:t>
      </w:r>
      <w:proofErr w:type="gramStart"/>
      <w:r>
        <w:t>ТР</w:t>
      </w:r>
      <w:proofErr w:type="gramEnd"/>
      <w:r>
        <w:t xml:space="preserve"> ЕАЭС 042/2017) В ФОРМЕ ДЕКЛАРИРОВАНИЯ СООТВЕТСТВИЯ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  <w:r>
        <w:t>1. Игровое оборудование для детской игровой площадки, в том числе: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песочница;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игровой домик;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лабиринт.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2. Ударопоглощающее покрытие для детской игровой площадки: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а) покрытие песчаное;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б) покрытие гравийное;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в) покрытие дерновое;</w:t>
      </w:r>
    </w:p>
    <w:p w:rsidR="007C41EC" w:rsidRDefault="007C41EC">
      <w:pPr>
        <w:pStyle w:val="ConsPlusNormal"/>
        <w:spacing w:before="200"/>
        <w:ind w:firstLine="540"/>
        <w:jc w:val="both"/>
      </w:pPr>
      <w:r>
        <w:t>г) покрытие из дробленой древесины.</w:t>
      </w: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ind w:firstLine="540"/>
        <w:jc w:val="both"/>
      </w:pPr>
    </w:p>
    <w:p w:rsidR="007C41EC" w:rsidRDefault="007C41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B92" w:rsidRDefault="00994B92"/>
    <w:sectPr w:rsidR="00994B92" w:rsidSect="0082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C"/>
    <w:rsid w:val="00035280"/>
    <w:rsid w:val="00063ECF"/>
    <w:rsid w:val="001A63BA"/>
    <w:rsid w:val="00216A43"/>
    <w:rsid w:val="002C330C"/>
    <w:rsid w:val="00456CCB"/>
    <w:rsid w:val="00633B10"/>
    <w:rsid w:val="006F7319"/>
    <w:rsid w:val="007C41EC"/>
    <w:rsid w:val="00890B7F"/>
    <w:rsid w:val="00985A47"/>
    <w:rsid w:val="00994B92"/>
    <w:rsid w:val="00A30E26"/>
    <w:rsid w:val="00CF56E9"/>
    <w:rsid w:val="00EB5B73"/>
    <w:rsid w:val="00F05660"/>
    <w:rsid w:val="00F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C4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4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C4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4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C4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4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4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C4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4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C4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41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C4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4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4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18" Type="http://schemas.openxmlformats.org/officeDocument/2006/relationships/hyperlink" Target="consultantplus://offline/ref=D1C1EEFC4E80E0F089AB3D64E577069E5A4F35C2FD368731C29937740C7EE5B92660091D314D6CC8B0894F77BF6E2D9159A84BFA15866904D5u4H" TargetMode="External"/><Relationship Id="rId26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39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21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34" Type="http://schemas.openxmlformats.org/officeDocument/2006/relationships/hyperlink" Target="consultantplus://offline/ref=D1C1EEFC4E80E0F089AB3D64E577069E5A4F35C2FD368731C29937740C7EE5B92660091D314D6CCBB1894F77BF6E2D9159A84BFA15866904D5u4H" TargetMode="External"/><Relationship Id="rId42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47" Type="http://schemas.openxmlformats.org/officeDocument/2006/relationships/hyperlink" Target="consultantplus://offline/ref=D1C1EEFC4E80E0F089AB3D64E577069E5F4C3FC9F2348731C29937740C7EE5B92660091D314D6CCAB2894F77BF6E2D9159A84BFA15866904D5u4H" TargetMode="External"/><Relationship Id="rId50" Type="http://schemas.openxmlformats.org/officeDocument/2006/relationships/hyperlink" Target="consultantplus://offline/ref=D1C1EEFC4E80E0F089AB3D64E577069E5A4F35C2FD368731C29937740C7EE5B92660091D314D6CC8B1894F77BF6E2D9159A84BFA15866904D5u4H" TargetMode="External"/><Relationship Id="rId55" Type="http://schemas.openxmlformats.org/officeDocument/2006/relationships/hyperlink" Target="consultantplus://offline/ref=D1C1EEFC4E80E0F089AB3D64E577069E5A4F35C2FD368731C29937740C7EE5B92660091D314D6CC8B0894F77BF6E2D9159A84BFA15866904D5u4H" TargetMode="External"/><Relationship Id="rId63" Type="http://schemas.openxmlformats.org/officeDocument/2006/relationships/hyperlink" Target="consultantplus://offline/ref=D1C1EEFC4E80E0F089AB3D64E577069E5A4F35C2FD368731C29937740C7EE5B92660091D314D6CC8B2894F77BF6E2D9159A84BFA15866904D5u4H" TargetMode="External"/><Relationship Id="rId68" Type="http://schemas.openxmlformats.org/officeDocument/2006/relationships/hyperlink" Target="consultantplus://offline/ref=D1C1EEFC4E80E0F089AB3D64E577069E5F4C3FC9F2348731C29937740C7EE5B92660091D314D6CCABC894F77BF6E2D9159A84BFA15866904D5u4H" TargetMode="External"/><Relationship Id="rId7" Type="http://schemas.openxmlformats.org/officeDocument/2006/relationships/hyperlink" Target="consultantplus://offline/ref=D1C1EEFC4E80E0F089AB3D64E577069E5F4C34CEF3338731C29937740C7EE5B92660091D314D6ACEB4894F77BF6E2D9159A84BFA15866904D5u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C1EEFC4E80E0F089AB3D64E577069E5A4F35C2FD368731C29937740C7EE5B92660091D314D6CC8B1894F77BF6E2D9159A84BFA15866904D5u4H" TargetMode="External"/><Relationship Id="rId29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1EEFC4E80E0F089AB3D64E577069E5F4F33CDFD348731C29937740C7EE5B92660091D314D6BC8B7894F77BF6E2D9159A84BFA15866904D5u4H" TargetMode="External"/><Relationship Id="rId11" Type="http://schemas.openxmlformats.org/officeDocument/2006/relationships/hyperlink" Target="consultantplus://offline/ref=D1C1EEFC4E80E0F089AB3D64E577069E58463FCFFC348731C29937740C7EE5B92660091D314D6FC9BD894F77BF6E2D9159A84BFA15866904D5u4H" TargetMode="External"/><Relationship Id="rId24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32" Type="http://schemas.openxmlformats.org/officeDocument/2006/relationships/hyperlink" Target="consultantplus://offline/ref=D1C1EEFC4E80E0F089AB3D64E577069E5A4F35C2FD368731C29937740C7EE5B92660091D314D6CCBB0894F77BF6E2D9159A84BFA15866904D5u4H" TargetMode="External"/><Relationship Id="rId37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40" Type="http://schemas.openxmlformats.org/officeDocument/2006/relationships/hyperlink" Target="consultantplus://offline/ref=D1C1EEFC4E80E0F089AB3D64E577069E5A4F35C2FD368731C29937740C7EE5B92660091D314D6CCBB1894F77BF6E2D9159A84BFA15866904D5u4H" TargetMode="External"/><Relationship Id="rId45" Type="http://schemas.openxmlformats.org/officeDocument/2006/relationships/hyperlink" Target="consultantplus://offline/ref=D1C1EEFC4E80E0F089AB3D64E577069E5F4C3FC9F2348731C29937740C7EE5B92660091D314D6CCAB2894F77BF6E2D9159A84BFA15866904D5u4H" TargetMode="External"/><Relationship Id="rId53" Type="http://schemas.openxmlformats.org/officeDocument/2006/relationships/hyperlink" Target="consultantplus://offline/ref=D1C1EEFC4E80E0F089AB3D64E577069E5A4F35C2FD368731C29937740C7EE5B92660091D314D6CC8B2894F77BF6E2D9159A84BFA15866904D5u4H" TargetMode="External"/><Relationship Id="rId58" Type="http://schemas.openxmlformats.org/officeDocument/2006/relationships/hyperlink" Target="consultantplus://offline/ref=D1C1EEFC4E80E0F089AB3D64E577069E5A4F35C2FD368731C29937740C7EE5B92660091D314D6CC8B1894F77BF6E2D9159A84BFA15866904D5u4H" TargetMode="External"/><Relationship Id="rId66" Type="http://schemas.openxmlformats.org/officeDocument/2006/relationships/hyperlink" Target="consultantplus://offline/ref=D1C1EEFC4E80E0F089AB3D64E577069E594732CBFA348731C29937740C7EE5B92660091D314D6FCFB4894F77BF6E2D9159A84BFA15866904D5u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1C1EEFC4E80E0F089AB3D64E577069E5A4F35C2FD368731C29937740C7EE5B92660091D314D6CCBB0894F77BF6E2D9159A84BFA15866904D5u4H" TargetMode="External"/><Relationship Id="rId23" Type="http://schemas.openxmlformats.org/officeDocument/2006/relationships/hyperlink" Target="consultantplus://offline/ref=D1C1EEFC4E80E0F089AB3D64E577069E5A4F35C2FD368731C29937740C7EE5B92660091D314D6CCBB0894F77BF6E2D9159A84BFA15866904D5u4H" TargetMode="External"/><Relationship Id="rId28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36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49" Type="http://schemas.openxmlformats.org/officeDocument/2006/relationships/hyperlink" Target="consultantplus://offline/ref=D1C1EEFC4E80E0F089AB3D64E577069E5F4C3FC9F2348731C29937740C7EE5B92660091D314D6CCABC894F77BF6E2D9159A84BFA15866904D5u4H" TargetMode="External"/><Relationship Id="rId57" Type="http://schemas.openxmlformats.org/officeDocument/2006/relationships/hyperlink" Target="consultantplus://offline/ref=D1C1EEFC4E80E0F089AB3D64E577069E5A4F35C2FD368731C29937740C7EE5B92660091D314D6CC8B2894F77BF6E2D9159A84BFA15866904D5u4H" TargetMode="External"/><Relationship Id="rId61" Type="http://schemas.openxmlformats.org/officeDocument/2006/relationships/hyperlink" Target="consultantplus://offline/ref=D1C1EEFC4E80E0F089AB3D64E577069E5A4F35C2FD368731C29937740C7EE5B92660091D314D6CC8B3894F77BF6E2D9159A84BFA15866904D5u4H" TargetMode="External"/><Relationship Id="rId10" Type="http://schemas.openxmlformats.org/officeDocument/2006/relationships/hyperlink" Target="consultantplus://offline/ref=D1C1EEFC4E80E0F089AB3D64E577069E58463FCFFC348731C29937740C7EE5B92660091D314D6FCFB4894F77BF6E2D9159A84BFA15866904D5u4H" TargetMode="External"/><Relationship Id="rId19" Type="http://schemas.openxmlformats.org/officeDocument/2006/relationships/hyperlink" Target="consultantplus://offline/ref=D1C1EEFC4E80E0F089AB3D64E577069E5A4F35C2FD368731C29937740C7EE5B92660091D314D6CC8B2894F77BF6E2D9159A84BFA15866904D5u4H" TargetMode="External"/><Relationship Id="rId31" Type="http://schemas.openxmlformats.org/officeDocument/2006/relationships/hyperlink" Target="consultantplus://offline/ref=D1C1EEFC4E80E0F089AB3D64E577069E5A4F35C2FD368731C29937740C7EE5B92660091D314D6CCBB1894F77BF6E2D9159A84BFA15866904D5u4H" TargetMode="External"/><Relationship Id="rId44" Type="http://schemas.openxmlformats.org/officeDocument/2006/relationships/hyperlink" Target="consultantplus://offline/ref=D1C1EEFC4E80E0F089AB3D64E577069E594E31CFF3308731C29937740C7EE5B92660091A3A193E8AE08F1B27E53A228F5AB648DFuAH" TargetMode="External"/><Relationship Id="rId52" Type="http://schemas.openxmlformats.org/officeDocument/2006/relationships/hyperlink" Target="consultantplus://offline/ref=D1C1EEFC4E80E0F089AB3D64E577069E5A4F35C2FD368731C29937740C7EE5B92660091D314D6CC8B0894F77BF6E2D9159A84BFA15866904D5u4H" TargetMode="External"/><Relationship Id="rId60" Type="http://schemas.openxmlformats.org/officeDocument/2006/relationships/hyperlink" Target="consultantplus://offline/ref=D1C1EEFC4E80E0F089AB3D64E577069E5A4F35C2FD368731C29937740C7EE5B92660091D314D6CC8B1894F77BF6E2D9159A84BFA15866904D5u4H" TargetMode="External"/><Relationship Id="rId65" Type="http://schemas.openxmlformats.org/officeDocument/2006/relationships/hyperlink" Target="consultantplus://offline/ref=D1C1EEFC4E80E0F089AB3D64E577069E594E31CFF3308731C29937740C7EE5B92660091430463B9FF1D71626FA25219346B44AFAD0u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1EEFC4E80E0F089AB3D64E577069E5F4F33CDFD348731C29937740C7EE5B92660091D314F66C9B5894F77BF6E2D9159A84BFA15866904D5u4H" TargetMode="External"/><Relationship Id="rId14" Type="http://schemas.openxmlformats.org/officeDocument/2006/relationships/hyperlink" Target="consultantplus://offline/ref=D1C1EEFC4E80E0F089AB3D64E577069E5A4F35C2FD368731C29937740C7EE5B92660091D314D6CCBB1894F77BF6E2D9159A84BFA15866904D5u4H" TargetMode="External"/><Relationship Id="rId22" Type="http://schemas.openxmlformats.org/officeDocument/2006/relationships/hyperlink" Target="consultantplus://offline/ref=D1C1EEFC4E80E0F089AB3D64E577069E5A4F35C2FD368731C29937740C7EE5B92660091D314D6CCBB1894F77BF6E2D9159A84BFA15866904D5u4H" TargetMode="External"/><Relationship Id="rId27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30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35" Type="http://schemas.openxmlformats.org/officeDocument/2006/relationships/hyperlink" Target="consultantplus://offline/ref=D1C1EEFC4E80E0F089AB3D64E577069E5A4F35C2FD368731C29937740C7EE5B92660091D314D6CCBB0894F77BF6E2D9159A84BFA15866904D5u4H" TargetMode="External"/><Relationship Id="rId43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48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56" Type="http://schemas.openxmlformats.org/officeDocument/2006/relationships/hyperlink" Target="consultantplus://offline/ref=D1C1EEFC4E80E0F089AB3D64E577069E5A4F35C2FD368731C29937740C7EE5B92660091D314D6CC8B3894F77BF6E2D9159A84BFA15866904D5u4H" TargetMode="External"/><Relationship Id="rId64" Type="http://schemas.openxmlformats.org/officeDocument/2006/relationships/hyperlink" Target="consultantplus://offline/ref=D1C1EEFC4E80E0F089AB3D64E577069E594E31CFF3308731C29937740C7EE5B92660091A37463B9FF1D71626FA25219346B44AFAD0u9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D1C1EEFC4E80E0F089AB3D64E577069E594E3FCFFC3C8731C29937740C7EE5B92660091D314D6FCFB0894F77BF6E2D9159A84BFA15866904D5u4H" TargetMode="External"/><Relationship Id="rId51" Type="http://schemas.openxmlformats.org/officeDocument/2006/relationships/hyperlink" Target="consultantplus://offline/ref=D1C1EEFC4E80E0F089AB3D64E577069E5A4F35C2FD368731C29937740C7EE5B92660091D314D6CC8B3894F77BF6E2D9159A84BFA15866904D5u4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17" Type="http://schemas.openxmlformats.org/officeDocument/2006/relationships/hyperlink" Target="consultantplus://offline/ref=D1C1EEFC4E80E0F089AB3D64E577069E5A4F35C2FD368731C29937740C7EE5B92660091D314D6CC8B3894F77BF6E2D9159A84BFA15866904D5u4H" TargetMode="External"/><Relationship Id="rId25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33" Type="http://schemas.openxmlformats.org/officeDocument/2006/relationships/hyperlink" Target="consultantplus://offline/ref=D1C1EEFC4E80E0F089AB3D64E577069E5A4F35C2FD368731C29937740C7EE5B92660091D314D6CCBB6894F77BF6E2D9159A84BFA15866904D5u4H" TargetMode="External"/><Relationship Id="rId38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46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59" Type="http://schemas.openxmlformats.org/officeDocument/2006/relationships/hyperlink" Target="consultantplus://offline/ref=D1C1EEFC4E80E0F089AB3D64E577069E5A4F35C2FD368731C29937740C7EE5B92660091D314D6CC8B3894F77BF6E2D9159A84BFA15866904D5u4H" TargetMode="External"/><Relationship Id="rId67" Type="http://schemas.openxmlformats.org/officeDocument/2006/relationships/hyperlink" Target="consultantplus://offline/ref=D1C1EEFC4E80E0F089AB3D64E577069E5A4A33CBF93C8731C29937740C7EE5B934605111314C71CFB79C1926F9D3u9H" TargetMode="External"/><Relationship Id="rId20" Type="http://schemas.openxmlformats.org/officeDocument/2006/relationships/hyperlink" Target="consultantplus://offline/ref=D1C1EEFC4E80E0F089AB3D64E577069E5A4F35C2FD368731C29937740C7EE5B92660091D314D6CCBB7894F77BF6E2D9159A84BFA15866904D5u4H" TargetMode="External"/><Relationship Id="rId41" Type="http://schemas.openxmlformats.org/officeDocument/2006/relationships/hyperlink" Target="consultantplus://offline/ref=D1C1EEFC4E80E0F089AB3D64E577069E5A4F35C2FD368731C29937740C7EE5B92660091D314D6CCBB0894F77BF6E2D9159A84BFA15866904D5u4H" TargetMode="External"/><Relationship Id="rId54" Type="http://schemas.openxmlformats.org/officeDocument/2006/relationships/hyperlink" Target="consultantplus://offline/ref=D1C1EEFC4E80E0F089AB3D64E577069E5A4F35C2FD368731C29937740C7EE5B92660091D314D6CC8B1894F77BF6E2D9159A84BFA15866904D5u4H" TargetMode="External"/><Relationship Id="rId62" Type="http://schemas.openxmlformats.org/officeDocument/2006/relationships/hyperlink" Target="consultantplus://offline/ref=D1C1EEFC4E80E0F089AB3D64E577069E5A4F35C2FD368731C29937740C7EE5B92660091D314D6CC8B0894F77BF6E2D9159A84BFA15866904D5u4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9288</Words>
  <Characters>52947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Куманова Светлана Валерьевна</dc:creator>
  <cp:lastModifiedBy>Куманова Светлана Валерьевна</cp:lastModifiedBy>
  <cp:revision>1</cp:revision>
  <dcterms:created xsi:type="dcterms:W3CDTF">2022-12-01T07:45:00Z</dcterms:created>
  <dcterms:modified xsi:type="dcterms:W3CDTF">2022-12-01T08:07:00Z</dcterms:modified>
</cp:coreProperties>
</file>